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Pr="00E57F47" w:rsidRDefault="00E57F47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F47">
        <w:rPr>
          <w:rFonts w:ascii="Arial" w:hAnsi="Arial" w:cs="Arial"/>
          <w:b/>
          <w:bCs/>
          <w:sz w:val="24"/>
          <w:szCs w:val="24"/>
        </w:rPr>
        <w:t>REQUERIMENTO nº.</w:t>
      </w:r>
      <w:r w:rsidR="00565C81">
        <w:rPr>
          <w:rFonts w:ascii="Arial" w:hAnsi="Arial" w:cs="Arial"/>
          <w:b/>
          <w:bCs/>
          <w:sz w:val="24"/>
          <w:szCs w:val="24"/>
        </w:rPr>
        <w:t>__</w:t>
      </w:r>
      <w:r w:rsidRPr="00E57F47">
        <w:rPr>
          <w:rFonts w:ascii="Arial" w:hAnsi="Arial" w:cs="Arial"/>
          <w:b/>
          <w:bCs/>
          <w:sz w:val="24"/>
          <w:szCs w:val="24"/>
        </w:rPr>
        <w:t>/201</w:t>
      </w:r>
      <w:r w:rsidR="00771386">
        <w:rPr>
          <w:rFonts w:ascii="Arial" w:hAnsi="Arial" w:cs="Arial"/>
          <w:b/>
          <w:bCs/>
          <w:sz w:val="24"/>
          <w:szCs w:val="24"/>
        </w:rPr>
        <w:t>8</w:t>
      </w:r>
      <w:r w:rsidR="008876D0" w:rsidRPr="00E57F47">
        <w:rPr>
          <w:rFonts w:ascii="Arial" w:hAnsi="Arial" w:cs="Arial"/>
          <w:b/>
          <w:bCs/>
          <w:sz w:val="24"/>
          <w:szCs w:val="24"/>
        </w:rPr>
        <w:t>:</w:t>
      </w:r>
    </w:p>
    <w:p w:rsidR="008876D0" w:rsidRPr="001E24D3" w:rsidRDefault="008876D0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Pr="00364BF5" w:rsidRDefault="00E57F47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4BF5">
        <w:rPr>
          <w:rFonts w:ascii="Arial" w:eastAsia="Times New Roman" w:hAnsi="Arial" w:cs="Arial"/>
          <w:sz w:val="24"/>
          <w:szCs w:val="24"/>
          <w:lang w:eastAsia="pt-BR"/>
        </w:rPr>
        <w:t>O Vereador subscritor</w:t>
      </w:r>
      <w:r w:rsidR="00A53738"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deste Requerimento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prerrogativas legais e </w:t>
      </w:r>
      <w:r w:rsidRPr="00364BF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92A9B" w:rsidRPr="00364BF5" w:rsidRDefault="00692A9B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24A2" w:rsidRPr="00BE24A2" w:rsidRDefault="00BE24A2" w:rsidP="00BE24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E24A2" w:rsidRPr="00BE24A2" w:rsidRDefault="00BE24A2" w:rsidP="00BE2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E24A2">
        <w:rPr>
          <w:rFonts w:ascii="Arial" w:eastAsia="Times New Roman" w:hAnsi="Arial" w:cs="Arial"/>
          <w:b/>
          <w:sz w:val="24"/>
          <w:szCs w:val="24"/>
          <w:lang w:eastAsia="pt-BR"/>
        </w:rPr>
        <w:t>a)</w:t>
      </w:r>
      <w:r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Que no último dia </w:t>
      </w:r>
      <w:r w:rsidRPr="00BE24A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21/11/2017</w:t>
      </w:r>
      <w:r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, foi publicada a Lei Municipal nº.4.614/2017, que dispõe sobre o descarte de lâmpadas, pilhas, baterias, baterias de celular e outros tipos de acumuladores de energia no âmbito do Município de Arapongas – PR, encontrando-se referida norma em plena vigência desde a referida data;  </w:t>
      </w:r>
    </w:p>
    <w:p w:rsidR="00BE24A2" w:rsidRDefault="00BE24A2" w:rsidP="00565C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65C81" w:rsidRPr="00565C81" w:rsidRDefault="00BE24A2" w:rsidP="00565C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b)</w:t>
      </w:r>
      <w:r w:rsidR="00565C81" w:rsidRPr="00BE24A2">
        <w:rPr>
          <w:rFonts w:ascii="Arial" w:eastAsia="Times New Roman" w:hAnsi="Arial" w:cs="Arial"/>
          <w:sz w:val="24"/>
          <w:szCs w:val="24"/>
          <w:lang w:eastAsia="pt-BR"/>
        </w:rPr>
        <w:t>Que f</w:t>
      </w:r>
      <w:r w:rsidR="00565C81" w:rsidRPr="00565C81">
        <w:rPr>
          <w:rFonts w:ascii="Arial" w:eastAsia="Times New Roman" w:hAnsi="Arial" w:cs="Arial"/>
          <w:sz w:val="24"/>
          <w:szCs w:val="24"/>
          <w:lang w:eastAsia="pt-BR"/>
        </w:rPr>
        <w:t>oi publicado no Diário Oficial da União de 24.10.2017, o Decreto nº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65C81" w:rsidRPr="00565C81">
        <w:rPr>
          <w:rFonts w:ascii="Arial" w:eastAsia="Times New Roman" w:hAnsi="Arial" w:cs="Arial"/>
          <w:sz w:val="24"/>
          <w:szCs w:val="24"/>
          <w:lang w:eastAsia="pt-BR"/>
        </w:rPr>
        <w:t>9.177, de 23</w:t>
      </w:r>
      <w:r w:rsidR="00565C81" w:rsidRPr="00BE24A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565C81" w:rsidRPr="00565C81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565C81" w:rsidRPr="00BE24A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565C81" w:rsidRPr="00565C81">
        <w:rPr>
          <w:rFonts w:ascii="Arial" w:eastAsia="Times New Roman" w:hAnsi="Arial" w:cs="Arial"/>
          <w:sz w:val="24"/>
          <w:szCs w:val="24"/>
          <w:lang w:eastAsia="pt-BR"/>
        </w:rPr>
        <w:t>2017, que regulamenta o art. 33 da Lei nº</w:t>
      </w:r>
      <w:r w:rsidR="00565C81" w:rsidRPr="00BE24A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65C81" w:rsidRPr="00565C81">
        <w:rPr>
          <w:rFonts w:ascii="Arial" w:eastAsia="Times New Roman" w:hAnsi="Arial" w:cs="Arial"/>
          <w:sz w:val="24"/>
          <w:szCs w:val="24"/>
          <w:lang w:eastAsia="pt-BR"/>
        </w:rPr>
        <w:t>12.305, de 02</w:t>
      </w:r>
      <w:r w:rsidR="00565C81" w:rsidRPr="00BE24A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565C81" w:rsidRPr="00565C81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565C81" w:rsidRPr="00BE24A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565C81" w:rsidRPr="00565C81">
        <w:rPr>
          <w:rFonts w:ascii="Arial" w:eastAsia="Times New Roman" w:hAnsi="Arial" w:cs="Arial"/>
          <w:sz w:val="24"/>
          <w:szCs w:val="24"/>
          <w:lang w:eastAsia="pt-BR"/>
        </w:rPr>
        <w:t>2010 (Política Nacional de Resíduos Sólidos) e estabelece normas para assegurar a isonomia na fiscalização e no cumprimento das obrigações imputadas aos fabricantes, aos importadores, aos distribuidores e aos comerciantes de produtos, seus resíduos e suas embalagens sujeitos à logística reversa obrigatória</w:t>
      </w:r>
      <w:r w:rsidR="00565C81" w:rsidRPr="00BE24A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565C81" w:rsidRPr="00565C81" w:rsidRDefault="00565C81" w:rsidP="00565C81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4CD8">
        <w:rPr>
          <w:rFonts w:ascii="Arial" w:eastAsia="Times New Roman" w:hAnsi="Arial" w:cs="Arial"/>
          <w:b/>
          <w:sz w:val="24"/>
          <w:szCs w:val="24"/>
          <w:lang w:eastAsia="pt-BR"/>
        </w:rPr>
        <w:t>b)</w:t>
      </w:r>
      <w:r w:rsidRPr="00565C81">
        <w:rPr>
          <w:rFonts w:ascii="Arial" w:eastAsia="Times New Roman" w:hAnsi="Arial" w:cs="Arial"/>
          <w:sz w:val="24"/>
          <w:szCs w:val="24"/>
          <w:lang w:eastAsia="pt-BR"/>
        </w:rPr>
        <w:t xml:space="preserve"> Que, com a publicação do Decreto nº. 9.177/17, os fabricantes, importadores, distribuidores e comerciantes de produtos, seus resíduos e suas embalagens aos quais se refere o </w:t>
      </w:r>
      <w:r w:rsidRPr="00565C81">
        <w:rPr>
          <w:rFonts w:ascii="Arial" w:eastAsia="Times New Roman" w:hAnsi="Arial" w:cs="Arial"/>
          <w:i/>
          <w:sz w:val="24"/>
          <w:szCs w:val="24"/>
          <w:lang w:eastAsia="pt-BR"/>
        </w:rPr>
        <w:t>caput</w:t>
      </w:r>
      <w:r w:rsidRPr="00565C81">
        <w:rPr>
          <w:rFonts w:ascii="Arial" w:eastAsia="Times New Roman" w:hAnsi="Arial" w:cs="Arial"/>
          <w:sz w:val="24"/>
          <w:szCs w:val="24"/>
          <w:lang w:eastAsia="pt-BR"/>
        </w:rPr>
        <w:t xml:space="preserve"> do art. 33 da Lei nº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565C81">
        <w:rPr>
          <w:rFonts w:ascii="Arial" w:eastAsia="Times New Roman" w:hAnsi="Arial" w:cs="Arial"/>
          <w:sz w:val="24"/>
          <w:szCs w:val="24"/>
          <w:lang w:eastAsia="pt-BR"/>
        </w:rPr>
        <w:t xml:space="preserve"> 12.305/10, e de outros produtos, seus resíduos ou suas embalagens objeto de logística reversa na forma do § 1º do referido artigo, não signatários de acordo setorial ou termo de compromisso firmado com a União, são obrigados a estruturar e implementar sistemas de logística reversa, consideradas as mesmas obrigações imputáveis aos signatários e aos aderentes de acordo setori</w:t>
      </w:r>
      <w:r>
        <w:rPr>
          <w:rFonts w:ascii="Arial" w:eastAsia="Times New Roman" w:hAnsi="Arial" w:cs="Arial"/>
          <w:sz w:val="24"/>
          <w:szCs w:val="24"/>
          <w:lang w:eastAsia="pt-BR"/>
        </w:rPr>
        <w:t>al firmado com a União;</w:t>
      </w:r>
    </w:p>
    <w:p w:rsidR="00565C81" w:rsidRPr="00D4057D" w:rsidRDefault="00565C81" w:rsidP="00565C81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4CD8">
        <w:rPr>
          <w:rFonts w:ascii="Arial" w:eastAsia="Times New Roman" w:hAnsi="Arial" w:cs="Arial"/>
          <w:b/>
          <w:sz w:val="24"/>
          <w:szCs w:val="24"/>
          <w:lang w:eastAsia="pt-BR"/>
        </w:rPr>
        <w:t>c)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as</w:t>
      </w:r>
      <w:r w:rsidRPr="00565C81">
        <w:rPr>
          <w:rFonts w:ascii="Arial" w:eastAsia="Times New Roman" w:hAnsi="Arial" w:cs="Arial"/>
          <w:sz w:val="24"/>
          <w:szCs w:val="24"/>
          <w:lang w:eastAsia="pt-BR"/>
        </w:rPr>
        <w:t xml:space="preserve"> obrigações, mencionadas acima, incluem os dispositivos referentes às etapas de operacionalização, aos prazos, às metas, aos controles e aos registros da operacionalização dos sistemas de logística reversa, aos planos de comunicação, às avaliações e aos monitoramentos dos sistemas, às penalidades e às obrigações específicas imputáveis aos fabricantes, aos importadores, aos distribuidores e aos comerciantes</w:t>
      </w:r>
      <w:r w:rsidRPr="00D4057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D4057D" w:rsidRDefault="00D4057D" w:rsidP="00565C81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E24A2">
        <w:rPr>
          <w:rFonts w:ascii="Arial" w:eastAsia="Times New Roman" w:hAnsi="Arial" w:cs="Arial"/>
          <w:b/>
          <w:sz w:val="24"/>
          <w:szCs w:val="24"/>
          <w:lang w:eastAsia="pt-BR"/>
        </w:rPr>
        <w:t>d)</w:t>
      </w:r>
      <w:r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 Que,</w:t>
      </w:r>
      <w:r w:rsidR="00BE24A2">
        <w:rPr>
          <w:rFonts w:ascii="Arial" w:eastAsia="Times New Roman" w:hAnsi="Arial" w:cs="Arial"/>
          <w:sz w:val="24"/>
          <w:szCs w:val="24"/>
          <w:lang w:eastAsia="pt-BR"/>
        </w:rPr>
        <w:t xml:space="preserve"> assim,</w:t>
      </w:r>
      <w:r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onsoante previsto </w:t>
      </w:r>
      <w:r w:rsidR="00BE24A2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na legislação pertinente, competem à </w:t>
      </w:r>
      <w:r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>ASSOCIAÇÃO BRASILEIRA DA INDÚSTRIA DE ILUMINAÇÃO (</w:t>
      </w:r>
      <w:r w:rsidRPr="00BE24A2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ABILUX</w:t>
      </w:r>
      <w:r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>)</w:t>
      </w:r>
      <w:r w:rsidR="00BE24A2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à Associação Brasileira de Importadores de Produtos de Iluminação (</w:t>
      </w:r>
      <w:r w:rsidR="00BE24A2" w:rsidRPr="00BE24A2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ABILUMI</w:t>
      </w:r>
      <w:r w:rsidR="00BE24A2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) </w:t>
      </w:r>
      <w:r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>representar e defender a indústria nacional de lâmpadas e aparelhos elétricos de iluminação (lustres, abajures, luminosos, luminárias para iluminação pública, comercial, industrial, residencial, de emergência, cênica e monumental, reatores e produtos afins) perante os poderes públicos, autarquias, sociedades de economia mista, estatais, entidades de direito privado e outas organizações em gera</w:t>
      </w:r>
      <w:r w:rsidR="00BE24A2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>l</w:t>
      </w:r>
      <w:r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:rsidR="00E32B4E" w:rsidRDefault="00E32B4E" w:rsidP="00565C81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:rsidR="00E32B4E" w:rsidRDefault="00E32B4E" w:rsidP="00565C81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:rsidR="00296449" w:rsidRPr="00565C81" w:rsidRDefault="00296449" w:rsidP="00565C81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4464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e)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Que, inobstante o acima contido, referidas associações têm se omitido deliberadamente em suas atribuições legais, tendo o Município de Arapongas recentemente sido obrigado a proceder à contratação de empresa especializada para recolhimento e destinação de lâmpadas descartáveis (requisição de compras nº.</w:t>
      </w:r>
      <w:r w:rsidR="004A4464">
        <w:rPr>
          <w:rFonts w:ascii="Arial" w:hAnsi="Arial" w:cs="Arial"/>
          <w:spacing w:val="2"/>
          <w:sz w:val="24"/>
          <w:szCs w:val="24"/>
          <w:shd w:val="clear" w:color="auto" w:fill="FFFFFF"/>
        </w:rPr>
        <w:t>621/2018 / processo digital nº.10647/2018), resultando, portanto, em ônus aos cofres públicos;</w:t>
      </w:r>
    </w:p>
    <w:p w:rsidR="00BB164C" w:rsidRDefault="005075AE" w:rsidP="00681645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shd w:val="clear" w:color="auto" w:fill="FFFFFF"/>
        </w:rPr>
      </w:pPr>
      <w:r w:rsidRPr="00BE24A2">
        <w:rPr>
          <w:rFonts w:ascii="Arial" w:eastAsia="Times New Roman" w:hAnsi="Arial" w:cs="Arial"/>
          <w:i/>
          <w:sz w:val="24"/>
          <w:szCs w:val="24"/>
          <w:lang w:eastAsia="pt-BR"/>
        </w:rPr>
        <w:t>Ex positis</w:t>
      </w:r>
      <w:r w:rsidRPr="00BE24A2">
        <w:rPr>
          <w:rFonts w:ascii="Arial" w:eastAsia="Times New Roman" w:hAnsi="Arial" w:cs="Arial"/>
          <w:sz w:val="24"/>
          <w:szCs w:val="24"/>
          <w:lang w:eastAsia="pt-BR"/>
        </w:rPr>
        <w:t>, requer seja aprovado o presente Requerimento, a fim de que</w:t>
      </w:r>
      <w:r w:rsidR="00364BF5"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 seja</w:t>
      </w:r>
      <w:r w:rsidR="00BB164C" w:rsidRPr="00BE24A2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64BF5"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 encaminhado</w:t>
      </w:r>
      <w:r w:rsidR="00BB164C" w:rsidRPr="00BE24A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64BF5"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 ofício</w:t>
      </w:r>
      <w:r w:rsidR="00BB164C" w:rsidRPr="00BE24A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64BF5"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 à</w:t>
      </w:r>
      <w:r w:rsidR="00BE24A2" w:rsidRPr="00BE24A2">
        <w:rPr>
          <w:rFonts w:ascii="Arial" w:eastAsia="Times New Roman" w:hAnsi="Arial" w:cs="Arial"/>
          <w:sz w:val="24"/>
          <w:szCs w:val="24"/>
          <w:lang w:eastAsia="pt-BR"/>
        </w:rPr>
        <w:t>s Associações supracitadas (</w:t>
      </w:r>
      <w:r w:rsidR="00BE24A2" w:rsidRPr="00BE24A2">
        <w:rPr>
          <w:rFonts w:ascii="Arial" w:eastAsia="Times New Roman" w:hAnsi="Arial" w:cs="Arial"/>
          <w:b/>
          <w:sz w:val="24"/>
          <w:szCs w:val="24"/>
          <w:lang w:eastAsia="pt-BR"/>
        </w:rPr>
        <w:t>ABILUX</w:t>
      </w:r>
      <w:r w:rsidR="00BE24A2" w:rsidRPr="00BE24A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BE24A2" w:rsidRPr="00BE24A2">
        <w:rPr>
          <w:rFonts w:ascii="Arial" w:eastAsia="Times New Roman" w:hAnsi="Arial" w:cs="Arial"/>
          <w:b/>
          <w:sz w:val="24"/>
          <w:szCs w:val="24"/>
          <w:lang w:eastAsia="pt-BR"/>
        </w:rPr>
        <w:t>ABILUMINI</w:t>
      </w:r>
      <w:r w:rsidR="00BE24A2" w:rsidRPr="00BE24A2">
        <w:rPr>
          <w:rFonts w:ascii="Arial" w:eastAsia="Times New Roman" w:hAnsi="Arial" w:cs="Arial"/>
          <w:sz w:val="24"/>
          <w:szCs w:val="24"/>
          <w:lang w:eastAsia="pt-BR"/>
        </w:rPr>
        <w:t>), para que</w:t>
      </w:r>
      <w:r w:rsidR="00EE142F" w:rsidRPr="00EE142F">
        <w:rPr>
          <w:rFonts w:ascii="Arial" w:eastAsia="Times New Roman" w:hAnsi="Arial" w:cs="Arial"/>
          <w:b/>
          <w:i/>
          <w:sz w:val="24"/>
          <w:szCs w:val="24"/>
          <w:lang w:eastAsia="pt-BR"/>
        </w:rPr>
        <w:t>(i)</w:t>
      </w:r>
      <w:r w:rsidR="00D4057D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>promovam</w:t>
      </w:r>
      <w:r w:rsidR="00BE24A2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</w:t>
      </w:r>
      <w:r w:rsidR="00BE24A2" w:rsidRPr="00C503B1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EM CARÁTER DE EXTREMA URGÊNCIA</w:t>
      </w:r>
      <w:r w:rsidR="00BE24A2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>, no Município de Arapongas – PR</w:t>
      </w:r>
      <w:r w:rsidR="00C503B1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BE24A2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o </w:t>
      </w:r>
      <w:r w:rsidR="00D4057D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recolhimento, transporte e destinação final adequada de todas as lâmpadas fluorescentes, de vapor de sódio, vapor de mercúrio e de luz mista, irregularmente armazenadas nos estabelecimentos públicos e privados do município, no prazo de </w:t>
      </w:r>
      <w:r w:rsid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15 (quinze)</w:t>
      </w:r>
      <w:r w:rsidR="00D4057D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dias contados d</w:t>
      </w:r>
      <w:r w:rsid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o recebimento do ofício; e </w:t>
      </w:r>
      <w:r w:rsidR="00EE142F" w:rsidRPr="00EE142F">
        <w:rPr>
          <w:rFonts w:ascii="Arial" w:hAnsi="Arial" w:cs="Arial"/>
          <w:b/>
          <w:i/>
          <w:spacing w:val="2"/>
          <w:sz w:val="24"/>
          <w:szCs w:val="24"/>
          <w:shd w:val="clear" w:color="auto" w:fill="FFFFFF"/>
        </w:rPr>
        <w:t>(ii)</w:t>
      </w:r>
      <w:r w:rsidR="00D4057D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promovam a implementação de sistema detalhado de logística reversa de lâmpadas inservíveis no Município de </w:t>
      </w:r>
      <w:r w:rsid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Arapongas – PR</w:t>
      </w:r>
      <w:r w:rsidR="00D4057D" w:rsidRPr="00BE24A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criando mecanismos e locais adequados para devolução, coleta, recebimento, armazenamento e </w:t>
      </w:r>
      <w:r w:rsidR="00D4057D" w:rsidRP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destinação final adequada de tais resíduos sólidos, conforme diretrizes do artigo</w:t>
      </w:r>
      <w:r w:rsidR="00D4057D" w:rsidRPr="00EE142F">
        <w:rPr>
          <w:rStyle w:val="apple-converted-space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hyperlink r:id="rId8" w:tooltip="Artigo 33 da Lei nº 12.305 de 02 de Agosto de 2010" w:history="1">
        <w:r w:rsidR="00D4057D" w:rsidRPr="00EE142F">
          <w:rPr>
            <w:rStyle w:val="Hyperlink"/>
            <w:rFonts w:ascii="Arial" w:hAnsi="Arial" w:cs="Arial"/>
            <w:color w:val="auto"/>
            <w:spacing w:val="2"/>
            <w:sz w:val="24"/>
            <w:szCs w:val="24"/>
            <w:shd w:val="clear" w:color="auto" w:fill="FFFFFF"/>
          </w:rPr>
          <w:t>33</w:t>
        </w:r>
      </w:hyperlink>
      <w:r w:rsidR="00D4057D" w:rsidRP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hyperlink r:id="rId9" w:tooltip="Parágrafo 4 Artigo 33 da Lei nº 12.305 de 02 de Agosto de 2010" w:history="1">
        <w:r w:rsidR="00D4057D" w:rsidRPr="00EE142F">
          <w:rPr>
            <w:rStyle w:val="Hyperlink"/>
            <w:rFonts w:ascii="Arial" w:hAnsi="Arial" w:cs="Arial"/>
            <w:color w:val="auto"/>
            <w:spacing w:val="2"/>
            <w:sz w:val="24"/>
            <w:szCs w:val="24"/>
            <w:shd w:val="clear" w:color="auto" w:fill="FFFFFF"/>
          </w:rPr>
          <w:t>parágrafos 4º</w:t>
        </w:r>
      </w:hyperlink>
      <w:r w:rsidR="00D4057D" w:rsidRP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D4057D" w:rsidRPr="00EE142F">
        <w:rPr>
          <w:rStyle w:val="apple-converted-space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hyperlink r:id="rId10" w:tooltip="Parágrafo 5 Artigo 33 da Lei nº 12.305 de 02 de Agosto de 2010" w:history="1">
        <w:r w:rsidR="00D4057D" w:rsidRPr="00EE142F">
          <w:rPr>
            <w:rStyle w:val="Hyperlink"/>
            <w:rFonts w:ascii="Arial" w:hAnsi="Arial" w:cs="Arial"/>
            <w:color w:val="auto"/>
            <w:spacing w:val="2"/>
            <w:sz w:val="24"/>
            <w:szCs w:val="24"/>
            <w:shd w:val="clear" w:color="auto" w:fill="FFFFFF"/>
          </w:rPr>
          <w:t>5º</w:t>
        </w:r>
      </w:hyperlink>
      <w:r w:rsidR="00D4057D" w:rsidRPr="00EE142F">
        <w:rPr>
          <w:rStyle w:val="apple-converted-space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r w:rsidR="00D4057D" w:rsidRP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e</w:t>
      </w:r>
      <w:r w:rsidR="00D4057D" w:rsidRPr="00EE142F">
        <w:rPr>
          <w:rStyle w:val="apple-converted-space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hyperlink r:id="rId11" w:tooltip="Parágrafo 6 Artigo 33 da Lei nº 12.305 de 02 de Agosto de 2010" w:history="1">
        <w:r w:rsidR="00D4057D" w:rsidRPr="00EE142F">
          <w:rPr>
            <w:rStyle w:val="Hyperlink"/>
            <w:rFonts w:ascii="Arial" w:hAnsi="Arial" w:cs="Arial"/>
            <w:color w:val="auto"/>
            <w:spacing w:val="2"/>
            <w:sz w:val="24"/>
            <w:szCs w:val="24"/>
            <w:shd w:val="clear" w:color="auto" w:fill="FFFFFF"/>
          </w:rPr>
          <w:t>6º</w:t>
        </w:r>
      </w:hyperlink>
      <w:r w:rsidR="00D4057D" w:rsidRPr="00EE142F">
        <w:rPr>
          <w:rStyle w:val="apple-converted-space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r w:rsidR="00D4057D" w:rsidRP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da Lei Federal nº</w:t>
      </w:r>
      <w:r w:rsidR="00EE142F" w:rsidRP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hyperlink r:id="rId12" w:tooltip="Lei nº 12.305, de 2 de agosto de 2010." w:history="1">
        <w:r w:rsidR="00D4057D" w:rsidRPr="00EE142F">
          <w:rPr>
            <w:rStyle w:val="Hyperlink"/>
            <w:rFonts w:ascii="Arial" w:hAnsi="Arial" w:cs="Arial"/>
            <w:color w:val="auto"/>
            <w:spacing w:val="2"/>
            <w:sz w:val="24"/>
            <w:szCs w:val="24"/>
            <w:shd w:val="clear" w:color="auto" w:fill="FFFFFF"/>
          </w:rPr>
          <w:t>12.305</w:t>
        </w:r>
      </w:hyperlink>
      <w:r w:rsidR="00D4057D" w:rsidRPr="00EE142F">
        <w:rPr>
          <w:rFonts w:ascii="Arial" w:hAnsi="Arial" w:cs="Arial"/>
          <w:spacing w:val="2"/>
          <w:sz w:val="24"/>
          <w:szCs w:val="24"/>
          <w:shd w:val="clear" w:color="auto" w:fill="FFFFFF"/>
        </w:rPr>
        <w:t>/2010,</w:t>
      </w:r>
      <w:r w:rsidR="00BB164C" w:rsidRPr="00EE142F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sob pena de, não o fazendo,</w:t>
      </w:r>
      <w:r w:rsidR="00681645" w:rsidRPr="00EE142F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serem tomadas todas as medidas legais cabíveis.</w:t>
      </w:r>
    </w:p>
    <w:p w:rsidR="00296449" w:rsidRDefault="00296449" w:rsidP="00681645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shd w:val="clear" w:color="auto" w:fill="FFFFFF"/>
        </w:rPr>
      </w:pPr>
    </w:p>
    <w:p w:rsidR="004A4464" w:rsidRPr="004A4464" w:rsidRDefault="00296449" w:rsidP="004A4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>Requer-se, por fim, seja encaminhado ofício acerca do teor do presente Requerimento ao Ilustre Representante do Ministério Público para que tome</w:t>
      </w:r>
      <w:r w:rsidR="004A4464" w:rsidRP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conhecimento</w:t>
      </w:r>
      <w:r w:rsid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 da situação ora relatada</w:t>
      </w:r>
      <w:r w:rsidR="004A4464" w:rsidRP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e, na</w:t>
      </w:r>
      <w:r w:rsid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eventual</w:t>
      </w:r>
      <w:r w:rsidR="004A4464" w:rsidRP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omissão das supracitadas associações no prazo acima estipulado,</w:t>
      </w:r>
      <w:r w:rsid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o que se admite apenas para argumentar, que sejam tomadas</w:t>
      </w:r>
      <w:r w:rsidRP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as providências legais cabíveis</w:t>
      </w:r>
      <w:r w:rsidR="004A4464" w:rsidRP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>, considerando-se sobretudo o</w:t>
      </w:r>
      <w:r w:rsidR="004A4464">
        <w:rPr>
          <w:rFonts w:ascii="Arial" w:hAnsi="Arial" w:cs="Arial"/>
          <w:spacing w:val="-1"/>
          <w:sz w:val="24"/>
          <w:szCs w:val="24"/>
          <w:shd w:val="clear" w:color="auto" w:fill="FFFFFF"/>
        </w:rPr>
        <w:t xml:space="preserve"> já decidido na</w:t>
      </w:r>
      <w:hyperlink r:id="rId13" w:history="1">
        <w:r w:rsidR="004A4464" w:rsidRPr="004A4464">
          <w:rPr>
            <w:rStyle w:val="Hyperlink"/>
            <w:rFonts w:ascii="Arial" w:hAnsi="Arial" w:cs="Arial"/>
            <w:color w:val="auto"/>
            <w:sz w:val="24"/>
            <w:szCs w:val="24"/>
          </w:rPr>
          <w:t>Ação Civil de Improbidade Administrativa nº.1207714-2/PR</w:t>
        </w:r>
      </w:hyperlink>
      <w:r w:rsidR="004A4464" w:rsidRPr="004A4464">
        <w:rPr>
          <w:rFonts w:ascii="Arial" w:hAnsi="Arial" w:cs="Arial"/>
          <w:sz w:val="24"/>
          <w:szCs w:val="24"/>
        </w:rPr>
        <w:t>.</w:t>
      </w:r>
    </w:p>
    <w:p w:rsidR="00BB164C" w:rsidRDefault="00BB164C" w:rsidP="005075AE">
      <w:pPr>
        <w:spacing w:after="0" w:line="240" w:lineRule="auto"/>
        <w:jc w:val="both"/>
        <w:rPr>
          <w:rFonts w:ascii="Arial" w:hAnsi="Arial" w:cs="Arial"/>
          <w:spacing w:val="-1"/>
          <w:sz w:val="26"/>
          <w:szCs w:val="26"/>
          <w:shd w:val="clear" w:color="auto" w:fill="FFFFFF"/>
        </w:rPr>
      </w:pPr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BB164C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BB164C">
        <w:rPr>
          <w:rStyle w:val="nfase"/>
          <w:rFonts w:ascii="Arial" w:hAnsi="Arial" w:cs="Arial"/>
          <w:i w:val="0"/>
          <w:sz w:val="24"/>
          <w:szCs w:val="24"/>
        </w:rPr>
        <w:t xml:space="preserve">apongas – PR, aos </w:t>
      </w:r>
      <w:r w:rsidR="004A4464">
        <w:rPr>
          <w:rStyle w:val="nfase"/>
          <w:rFonts w:ascii="Arial" w:hAnsi="Arial" w:cs="Arial"/>
          <w:i w:val="0"/>
          <w:sz w:val="24"/>
          <w:szCs w:val="24"/>
        </w:rPr>
        <w:t>02maio</w:t>
      </w:r>
      <w:bookmarkStart w:id="0" w:name="_GoBack"/>
      <w:bookmarkEnd w:id="0"/>
      <w:r w:rsidRPr="00BB164C">
        <w:rPr>
          <w:rStyle w:val="nfase"/>
          <w:rFonts w:ascii="Arial" w:hAnsi="Arial" w:cs="Arial"/>
          <w:i w:val="0"/>
          <w:sz w:val="24"/>
          <w:szCs w:val="24"/>
        </w:rPr>
        <w:t xml:space="preserve"> de 201</w:t>
      </w:r>
      <w:r w:rsidR="00771386" w:rsidRPr="00BB164C">
        <w:rPr>
          <w:rStyle w:val="nfase"/>
          <w:rFonts w:ascii="Arial" w:hAnsi="Arial" w:cs="Arial"/>
          <w:i w:val="0"/>
          <w:sz w:val="24"/>
          <w:szCs w:val="24"/>
        </w:rPr>
        <w:t>8</w:t>
      </w:r>
      <w:r w:rsidRPr="00BB164C">
        <w:rPr>
          <w:rStyle w:val="nfase"/>
          <w:rFonts w:ascii="Arial" w:hAnsi="Arial" w:cs="Arial"/>
          <w:i w:val="0"/>
          <w:sz w:val="24"/>
          <w:szCs w:val="24"/>
        </w:rPr>
        <w:t>.</w:t>
      </w:r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Pr="00BB164C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102ED6" w:rsidRPr="00BB164C" w:rsidRDefault="005B0C27" w:rsidP="005067E2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BB164C">
        <w:rPr>
          <w:rStyle w:val="nfase"/>
          <w:rFonts w:ascii="Arial" w:hAnsi="Arial" w:cs="Arial"/>
          <w:b/>
          <w:i w:val="0"/>
          <w:sz w:val="24"/>
          <w:szCs w:val="24"/>
        </w:rPr>
        <w:t>FERNANDO HENRIQUE OLIVEIRA – VEREADOR</w:t>
      </w:r>
    </w:p>
    <w:p w:rsidR="00102ED6" w:rsidRPr="00BB164C" w:rsidRDefault="00102ED6" w:rsidP="00F233D2">
      <w:pPr>
        <w:jc w:val="both"/>
        <w:rPr>
          <w:rFonts w:ascii="Arial" w:hAnsi="Arial" w:cs="Arial"/>
          <w:sz w:val="24"/>
          <w:szCs w:val="24"/>
        </w:rPr>
      </w:pPr>
    </w:p>
    <w:sectPr w:rsidR="00102ED6" w:rsidRPr="00BB164C" w:rsidSect="00B92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1F2" w:rsidRDefault="00AA31F2" w:rsidP="00F233D2">
      <w:pPr>
        <w:spacing w:after="0" w:line="240" w:lineRule="auto"/>
      </w:pPr>
      <w:r>
        <w:separator/>
      </w:r>
    </w:p>
  </w:endnote>
  <w:endnote w:type="continuationSeparator" w:id="1">
    <w:p w:rsidR="00AA31F2" w:rsidRDefault="00AA31F2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1F2" w:rsidRDefault="00AA31F2" w:rsidP="00F233D2">
      <w:pPr>
        <w:spacing w:after="0" w:line="240" w:lineRule="auto"/>
      </w:pPr>
      <w:r>
        <w:separator/>
      </w:r>
    </w:p>
  </w:footnote>
  <w:footnote w:type="continuationSeparator" w:id="1">
    <w:p w:rsidR="00AA31F2" w:rsidRDefault="00AA31F2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24F9"/>
    <w:multiLevelType w:val="hybridMultilevel"/>
    <w:tmpl w:val="E668BD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E71B9"/>
    <w:multiLevelType w:val="hybridMultilevel"/>
    <w:tmpl w:val="75E8E0C6"/>
    <w:lvl w:ilvl="0" w:tplc="960AA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A2C"/>
    <w:rsid w:val="00084182"/>
    <w:rsid w:val="000B45B5"/>
    <w:rsid w:val="00102ED6"/>
    <w:rsid w:val="001B6725"/>
    <w:rsid w:val="001D5492"/>
    <w:rsid w:val="001E24D3"/>
    <w:rsid w:val="00263A79"/>
    <w:rsid w:val="00296449"/>
    <w:rsid w:val="00356C9C"/>
    <w:rsid w:val="00363BFF"/>
    <w:rsid w:val="00364BF5"/>
    <w:rsid w:val="003B2FC4"/>
    <w:rsid w:val="004012F3"/>
    <w:rsid w:val="00407750"/>
    <w:rsid w:val="00437D49"/>
    <w:rsid w:val="004A4464"/>
    <w:rsid w:val="005067E2"/>
    <w:rsid w:val="005075AE"/>
    <w:rsid w:val="00565C81"/>
    <w:rsid w:val="00574CD8"/>
    <w:rsid w:val="005A40C7"/>
    <w:rsid w:val="005B0C27"/>
    <w:rsid w:val="005F0D8A"/>
    <w:rsid w:val="00627AAE"/>
    <w:rsid w:val="00681645"/>
    <w:rsid w:val="00692A9B"/>
    <w:rsid w:val="006B68FD"/>
    <w:rsid w:val="00705B68"/>
    <w:rsid w:val="00706909"/>
    <w:rsid w:val="00771386"/>
    <w:rsid w:val="007F2380"/>
    <w:rsid w:val="0081124A"/>
    <w:rsid w:val="008641F8"/>
    <w:rsid w:val="008876D0"/>
    <w:rsid w:val="008A1E07"/>
    <w:rsid w:val="008E29FC"/>
    <w:rsid w:val="00904D5F"/>
    <w:rsid w:val="00930099"/>
    <w:rsid w:val="009B0F4D"/>
    <w:rsid w:val="009E17D4"/>
    <w:rsid w:val="00A40B51"/>
    <w:rsid w:val="00A53738"/>
    <w:rsid w:val="00A8290A"/>
    <w:rsid w:val="00AA31F2"/>
    <w:rsid w:val="00AD2D88"/>
    <w:rsid w:val="00B31A2C"/>
    <w:rsid w:val="00B913A8"/>
    <w:rsid w:val="00B9291A"/>
    <w:rsid w:val="00BB164C"/>
    <w:rsid w:val="00BD3F93"/>
    <w:rsid w:val="00BE24A2"/>
    <w:rsid w:val="00BF3502"/>
    <w:rsid w:val="00C503B1"/>
    <w:rsid w:val="00C77589"/>
    <w:rsid w:val="00C842AD"/>
    <w:rsid w:val="00CA58F5"/>
    <w:rsid w:val="00CB0C64"/>
    <w:rsid w:val="00CD2933"/>
    <w:rsid w:val="00CE0CEC"/>
    <w:rsid w:val="00D4057D"/>
    <w:rsid w:val="00D64B57"/>
    <w:rsid w:val="00DB3F63"/>
    <w:rsid w:val="00E32B4E"/>
    <w:rsid w:val="00E50C65"/>
    <w:rsid w:val="00E5188A"/>
    <w:rsid w:val="00E54E95"/>
    <w:rsid w:val="00E57F47"/>
    <w:rsid w:val="00E73689"/>
    <w:rsid w:val="00EE142F"/>
    <w:rsid w:val="00F050CA"/>
    <w:rsid w:val="00F0666C"/>
    <w:rsid w:val="00F233D2"/>
    <w:rsid w:val="00F42065"/>
    <w:rsid w:val="00F631E5"/>
    <w:rsid w:val="00F70427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1A"/>
  </w:style>
  <w:style w:type="paragraph" w:styleId="Ttulo1">
    <w:name w:val="heading 1"/>
    <w:basedOn w:val="Normal"/>
    <w:link w:val="Ttulo1Char"/>
    <w:uiPriority w:val="9"/>
    <w:qFormat/>
    <w:rsid w:val="009B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character" w:customStyle="1" w:styleId="xbe">
    <w:name w:val="_xbe"/>
    <w:basedOn w:val="Fontepargpadro"/>
    <w:rsid w:val="00706909"/>
  </w:style>
  <w:style w:type="character" w:styleId="Forte">
    <w:name w:val="Strong"/>
    <w:basedOn w:val="Fontepargpadro"/>
    <w:uiPriority w:val="22"/>
    <w:qFormat/>
    <w:rsid w:val="005F0D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012F3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p2">
    <w:name w:val="p2"/>
    <w:basedOn w:val="Normal"/>
    <w:rsid w:val="00AD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E17D4"/>
  </w:style>
  <w:style w:type="character" w:customStyle="1" w:styleId="Ttulo1Char">
    <w:name w:val="Título 1 Char"/>
    <w:basedOn w:val="Fontepargpadro"/>
    <w:link w:val="Ttulo1"/>
    <w:uiPriority w:val="9"/>
    <w:rsid w:val="009B0F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4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26261586/artigo-33-da-lei-n-12305-de-02-de-agosto-de-2010" TargetMode="External"/><Relationship Id="rId13" Type="http://schemas.openxmlformats.org/officeDocument/2006/relationships/hyperlink" Target="https://tj-pr.jusbrasil.com.br/jurisprudencia/25287837/acao-civil-de-improbidade-administrativa-12077142-pr-1207714-2-acordao-t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legislacao/1024358/pol%C3%ADtica-nacional-de-residuos-solidos-lei-12305-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26261265/par%C3%A1grafo-6-artigo-33-da-lei-n-12305-de-02-de-agosto-de-2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topicos/26261280/par%C3%A1grafo-5-artigo-33-da-lei-n-12305-de-02-de-agosto-de-2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26261294/par%C3%A1grafo-4-artigo-33-da-lei-n-12305-de-02-de-agosto-de-2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1D68-D336-4DE2-BACC-FD600C5C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6</cp:revision>
  <cp:lastPrinted>2018-05-02T12:54:00Z</cp:lastPrinted>
  <dcterms:created xsi:type="dcterms:W3CDTF">2018-05-02T00:26:00Z</dcterms:created>
  <dcterms:modified xsi:type="dcterms:W3CDTF">2018-05-02T12:55:00Z</dcterms:modified>
</cp:coreProperties>
</file>