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43" w:rsidRPr="0056178F" w:rsidRDefault="000D5143" w:rsidP="000D5143">
      <w:pPr>
        <w:pStyle w:val="Ttulo6"/>
        <w:spacing w:line="276" w:lineRule="auto"/>
        <w:jc w:val="center"/>
        <w:rPr>
          <w:rFonts w:asciiTheme="minorHAnsi" w:hAnsiTheme="minorHAnsi" w:cstheme="minorHAnsi"/>
          <w:caps/>
          <w:sz w:val="24"/>
          <w:szCs w:val="24"/>
          <w:u w:val="single"/>
        </w:rPr>
      </w:pPr>
      <w:r w:rsidRPr="0056178F">
        <w:rPr>
          <w:rFonts w:asciiTheme="minorHAnsi" w:hAnsiTheme="minorHAnsi" w:cstheme="minorHAnsi"/>
          <w:caps/>
          <w:sz w:val="24"/>
          <w:szCs w:val="24"/>
          <w:u w:val="single"/>
        </w:rPr>
        <w:t xml:space="preserve">PROJETO DE LEI Nº. </w:t>
      </w:r>
      <w:r w:rsidR="003F72F0">
        <w:rPr>
          <w:rFonts w:asciiTheme="minorHAnsi" w:hAnsiTheme="minorHAnsi" w:cstheme="minorHAnsi"/>
          <w:caps/>
          <w:sz w:val="24"/>
          <w:szCs w:val="24"/>
          <w:u w:val="single"/>
        </w:rPr>
        <w:t>0</w:t>
      </w:r>
      <w:r w:rsidR="00C12870">
        <w:rPr>
          <w:rFonts w:asciiTheme="minorHAnsi" w:hAnsiTheme="minorHAnsi" w:cstheme="minorHAnsi"/>
          <w:caps/>
          <w:sz w:val="24"/>
          <w:szCs w:val="24"/>
          <w:u w:val="single"/>
        </w:rPr>
        <w:t>28</w:t>
      </w:r>
      <w:r>
        <w:rPr>
          <w:rFonts w:asciiTheme="minorHAnsi" w:hAnsiTheme="minorHAnsi" w:cstheme="minorHAnsi"/>
          <w:caps/>
          <w:sz w:val="24"/>
          <w:szCs w:val="24"/>
          <w:u w:val="single"/>
        </w:rPr>
        <w:t>/22</w:t>
      </w:r>
      <w:r w:rsidRPr="0056178F">
        <w:rPr>
          <w:rFonts w:asciiTheme="minorHAnsi" w:hAnsiTheme="minorHAnsi" w:cstheme="minorHAnsi"/>
          <w:caps/>
          <w:sz w:val="24"/>
          <w:szCs w:val="24"/>
          <w:u w:val="single"/>
        </w:rPr>
        <w:t xml:space="preserve">, de </w:t>
      </w:r>
      <w:r w:rsidR="00C12870">
        <w:rPr>
          <w:rFonts w:asciiTheme="minorHAnsi" w:hAnsiTheme="minorHAnsi" w:cstheme="minorHAnsi"/>
          <w:caps/>
          <w:sz w:val="24"/>
          <w:szCs w:val="24"/>
          <w:u w:val="single"/>
        </w:rPr>
        <w:t>16</w:t>
      </w:r>
      <w:r w:rsidRPr="0056178F">
        <w:rPr>
          <w:rFonts w:asciiTheme="minorHAnsi" w:hAnsiTheme="minorHAnsi" w:cstheme="minorHAnsi"/>
          <w:caps/>
          <w:sz w:val="24"/>
          <w:szCs w:val="24"/>
          <w:u w:val="single"/>
        </w:rPr>
        <w:t xml:space="preserve"> de </w:t>
      </w:r>
      <w:r w:rsidR="00C12870">
        <w:rPr>
          <w:rFonts w:asciiTheme="minorHAnsi" w:hAnsiTheme="minorHAnsi" w:cstheme="minorHAnsi"/>
          <w:caps/>
          <w:sz w:val="24"/>
          <w:szCs w:val="24"/>
          <w:u w:val="single"/>
        </w:rPr>
        <w:t>MAIO</w:t>
      </w:r>
      <w:bookmarkStart w:id="0" w:name="_GoBack"/>
      <w:bookmarkEnd w:id="0"/>
      <w:r w:rsidRPr="0056178F">
        <w:rPr>
          <w:rFonts w:asciiTheme="minorHAnsi" w:hAnsiTheme="minorHAnsi" w:cstheme="minorHAnsi"/>
          <w:caps/>
          <w:sz w:val="24"/>
          <w:szCs w:val="24"/>
          <w:u w:val="single"/>
        </w:rPr>
        <w:t xml:space="preserve"> de 2022</w:t>
      </w:r>
    </w:p>
    <w:p w:rsidR="000D5143" w:rsidRPr="0056178F" w:rsidRDefault="000D5143" w:rsidP="000D5143">
      <w:pPr>
        <w:pStyle w:val="Recuodecorpodetexto"/>
        <w:spacing w:line="276" w:lineRule="auto"/>
        <w:ind w:left="4200" w:firstLine="0"/>
        <w:rPr>
          <w:rFonts w:asciiTheme="minorHAnsi" w:hAnsiTheme="minorHAnsi" w:cstheme="minorHAnsi"/>
          <w:color w:val="auto"/>
        </w:rPr>
      </w:pPr>
    </w:p>
    <w:p w:rsidR="002D7F90" w:rsidRPr="002D7F90" w:rsidRDefault="002D7F90" w:rsidP="003F72F0">
      <w:pPr>
        <w:pStyle w:val="Recuodecorpodetexto"/>
        <w:spacing w:line="276" w:lineRule="auto"/>
        <w:ind w:left="4536" w:firstLine="0"/>
        <w:rPr>
          <w:rFonts w:asciiTheme="minorHAnsi" w:hAnsiTheme="minorHAnsi" w:cstheme="minorHAnsi"/>
          <w:b/>
          <w:color w:val="auto"/>
        </w:rPr>
      </w:pPr>
      <w:r w:rsidRPr="002D7F90">
        <w:rPr>
          <w:rFonts w:asciiTheme="minorHAnsi" w:hAnsiTheme="minorHAnsi" w:cstheme="minorHAnsi"/>
          <w:b/>
          <w:color w:val="auto"/>
        </w:rPr>
        <w:t>Ratifica o Protocolo de Intenções nº 001/2022 celebrado entre os Municípios signatários que visa a ampliação do objeto do Consórcio Intermunicipal de Segurança Pública e Cidadania de Londrina e Região – CISMEL e dá outras providências.</w:t>
      </w:r>
    </w:p>
    <w:p w:rsidR="002D7F90" w:rsidRPr="002D7F90" w:rsidRDefault="002D7F90" w:rsidP="002D7F90">
      <w:pPr>
        <w:spacing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:rsidR="002D7F90" w:rsidRPr="002D7F90" w:rsidRDefault="002D7F90" w:rsidP="002D7F9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D7F90">
        <w:rPr>
          <w:rFonts w:asciiTheme="minorHAnsi" w:hAnsiTheme="minorHAnsi" w:cstheme="minorHAnsi"/>
          <w:b/>
        </w:rPr>
        <w:t>Art. 1º.</w:t>
      </w:r>
      <w:r w:rsidRPr="002D7F90">
        <w:rPr>
          <w:rFonts w:asciiTheme="minorHAnsi" w:hAnsiTheme="minorHAnsi" w:cstheme="minorHAnsi"/>
        </w:rPr>
        <w:t xml:space="preserve"> Fica ratificado o Protocolo de Intenções nº 001/2022, subscrito pelos Municípios de Alvorada do Sul, Apucarana, Arapongas, Bela Vista do Paraíso, Califórnia, Cambé, </w:t>
      </w:r>
      <w:proofErr w:type="spellStart"/>
      <w:r w:rsidRPr="002D7F90">
        <w:rPr>
          <w:rFonts w:asciiTheme="minorHAnsi" w:hAnsiTheme="minorHAnsi" w:cstheme="minorHAnsi"/>
        </w:rPr>
        <w:t>Cambira</w:t>
      </w:r>
      <w:proofErr w:type="spellEnd"/>
      <w:r w:rsidRPr="002D7F90">
        <w:rPr>
          <w:rFonts w:asciiTheme="minorHAnsi" w:hAnsiTheme="minorHAnsi" w:cstheme="minorHAnsi"/>
        </w:rPr>
        <w:t xml:space="preserve">, Centenário do Sul, Florestópolis, Ibiporã, </w:t>
      </w:r>
      <w:proofErr w:type="spellStart"/>
      <w:r w:rsidRPr="002D7F90">
        <w:rPr>
          <w:rFonts w:asciiTheme="minorHAnsi" w:hAnsiTheme="minorHAnsi" w:cstheme="minorHAnsi"/>
        </w:rPr>
        <w:t>Jaguapitã</w:t>
      </w:r>
      <w:proofErr w:type="spellEnd"/>
      <w:r w:rsidRPr="002D7F90">
        <w:rPr>
          <w:rFonts w:asciiTheme="minorHAnsi" w:hAnsiTheme="minorHAnsi" w:cstheme="minorHAnsi"/>
        </w:rPr>
        <w:t xml:space="preserve">, Jataizinho, Londrina, Marilândia do Sul, Mauá da Serra, Miraselva, Porecatu, Prado Ferreira, Primeiro de Maio, Rolândia, </w:t>
      </w:r>
      <w:proofErr w:type="spellStart"/>
      <w:r w:rsidRPr="002D7F90">
        <w:rPr>
          <w:rFonts w:asciiTheme="minorHAnsi" w:hAnsiTheme="minorHAnsi" w:cstheme="minorHAnsi"/>
        </w:rPr>
        <w:t>Sabáudia</w:t>
      </w:r>
      <w:proofErr w:type="spellEnd"/>
      <w:r w:rsidRPr="002D7F90">
        <w:rPr>
          <w:rFonts w:asciiTheme="minorHAnsi" w:hAnsiTheme="minorHAnsi" w:cstheme="minorHAnsi"/>
        </w:rPr>
        <w:t xml:space="preserve">, Sertanópolis e </w:t>
      </w:r>
      <w:proofErr w:type="spellStart"/>
      <w:r w:rsidRPr="002D7F90">
        <w:rPr>
          <w:rFonts w:asciiTheme="minorHAnsi" w:hAnsiTheme="minorHAnsi" w:cstheme="minorHAnsi"/>
        </w:rPr>
        <w:t>Tamarana</w:t>
      </w:r>
      <w:proofErr w:type="spellEnd"/>
      <w:r w:rsidRPr="002D7F90">
        <w:rPr>
          <w:rFonts w:asciiTheme="minorHAnsi" w:hAnsiTheme="minorHAnsi" w:cstheme="minorHAnsi"/>
        </w:rPr>
        <w:t>, que visa constituir a ampliação do objeto e a alteração da nomenclatura do Consórcio Intermunicipal de Segurança Pública e Cidadania de Londrina e Região – CISMEL.</w:t>
      </w:r>
    </w:p>
    <w:p w:rsidR="003F72F0" w:rsidRDefault="003F72F0" w:rsidP="002D7F90">
      <w:pPr>
        <w:spacing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:rsidR="002D7F90" w:rsidRPr="002D7F90" w:rsidRDefault="002D7F90" w:rsidP="002D7F9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D7F90">
        <w:rPr>
          <w:rFonts w:asciiTheme="minorHAnsi" w:hAnsiTheme="minorHAnsi" w:cstheme="minorHAnsi"/>
          <w:b/>
        </w:rPr>
        <w:t>Art. 2º.</w:t>
      </w:r>
      <w:r w:rsidRPr="002D7F90">
        <w:rPr>
          <w:rFonts w:asciiTheme="minorHAnsi" w:hAnsiTheme="minorHAnsi" w:cstheme="minorHAnsi"/>
        </w:rPr>
        <w:t xml:space="preserve"> O CISMEL passará a se denominar Consórcio Intermunicipal de Segurança Pública, Soluções e Melhorias do Norte Central Paranaense, designado pela sigla CISMEL-NCP.</w:t>
      </w:r>
    </w:p>
    <w:p w:rsidR="003F72F0" w:rsidRDefault="003F72F0" w:rsidP="002D7F90">
      <w:pPr>
        <w:spacing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:rsidR="002D7F90" w:rsidRPr="002D7F90" w:rsidRDefault="002D7F90" w:rsidP="002D7F9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D7F90">
        <w:rPr>
          <w:rFonts w:asciiTheme="minorHAnsi" w:hAnsiTheme="minorHAnsi" w:cstheme="minorHAnsi"/>
          <w:b/>
        </w:rPr>
        <w:t>Art. 3º.</w:t>
      </w:r>
      <w:r w:rsidRPr="002D7F90">
        <w:rPr>
          <w:rFonts w:asciiTheme="minorHAnsi" w:hAnsiTheme="minorHAnsi" w:cstheme="minorHAnsi"/>
        </w:rPr>
        <w:t xml:space="preserve"> Com a ampliação de seu objeto, o CISMEL-NCP terá por finalidade prestar atividades de planejamento, execução e gestão associada de serviços públicos nas seguintes áreas:</w:t>
      </w:r>
    </w:p>
    <w:p w:rsidR="002D7F90" w:rsidRPr="00C12870" w:rsidRDefault="002D7F90" w:rsidP="00C1287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12870">
        <w:rPr>
          <w:rFonts w:asciiTheme="minorHAnsi" w:hAnsiTheme="minorHAnsi" w:cstheme="minorHAnsi"/>
        </w:rPr>
        <w:t>Segurança Pública e Cidadania;</w:t>
      </w:r>
    </w:p>
    <w:p w:rsidR="002D7F90" w:rsidRPr="00C12870" w:rsidRDefault="002D7F90" w:rsidP="00C1287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12870">
        <w:rPr>
          <w:rFonts w:asciiTheme="minorHAnsi" w:hAnsiTheme="minorHAnsi" w:cstheme="minorHAnsi"/>
        </w:rPr>
        <w:t>Meio Ambiente e Resíduos Sólidos;</w:t>
      </w:r>
    </w:p>
    <w:p w:rsidR="002D7F90" w:rsidRPr="00C12870" w:rsidRDefault="002D7F90" w:rsidP="00C1287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12870">
        <w:rPr>
          <w:rFonts w:asciiTheme="minorHAnsi" w:hAnsiTheme="minorHAnsi" w:cstheme="minorHAnsi"/>
        </w:rPr>
        <w:t>Infraestrutura e Desenvolvimento Urbano e Rural;</w:t>
      </w:r>
    </w:p>
    <w:p w:rsidR="002D7F90" w:rsidRPr="00C12870" w:rsidRDefault="002D7F90" w:rsidP="00C1287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12870">
        <w:rPr>
          <w:rFonts w:asciiTheme="minorHAnsi" w:hAnsiTheme="minorHAnsi" w:cstheme="minorHAnsi"/>
        </w:rPr>
        <w:t>Obras Públicas e Transporte;</w:t>
      </w:r>
    </w:p>
    <w:p w:rsidR="002D7F90" w:rsidRPr="00C12870" w:rsidRDefault="002D7F90" w:rsidP="00C1287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C12870">
        <w:rPr>
          <w:rFonts w:asciiTheme="minorHAnsi" w:hAnsiTheme="minorHAnsi" w:cstheme="minorHAnsi"/>
        </w:rPr>
        <w:t>Motomecanização</w:t>
      </w:r>
      <w:proofErr w:type="spellEnd"/>
      <w:r w:rsidRPr="00C12870">
        <w:rPr>
          <w:rFonts w:asciiTheme="minorHAnsi" w:hAnsiTheme="minorHAnsi" w:cstheme="minorHAnsi"/>
        </w:rPr>
        <w:t>;</w:t>
      </w:r>
    </w:p>
    <w:p w:rsidR="002D7F90" w:rsidRPr="00C12870" w:rsidRDefault="002D7F90" w:rsidP="00C1287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12870">
        <w:rPr>
          <w:rFonts w:asciiTheme="minorHAnsi" w:hAnsiTheme="minorHAnsi" w:cstheme="minorHAnsi"/>
        </w:rPr>
        <w:t>Saúde;</w:t>
      </w:r>
    </w:p>
    <w:p w:rsidR="002D7F90" w:rsidRPr="00C12870" w:rsidRDefault="002D7F90" w:rsidP="00C1287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12870">
        <w:rPr>
          <w:rFonts w:asciiTheme="minorHAnsi" w:hAnsiTheme="minorHAnsi" w:cstheme="minorHAnsi"/>
        </w:rPr>
        <w:t>Educação e Cultura;</w:t>
      </w:r>
    </w:p>
    <w:p w:rsidR="002D7F90" w:rsidRPr="00C12870" w:rsidRDefault="002D7F90" w:rsidP="00C1287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12870">
        <w:rPr>
          <w:rFonts w:asciiTheme="minorHAnsi" w:hAnsiTheme="minorHAnsi" w:cstheme="minorHAnsi"/>
        </w:rPr>
        <w:t>Esporte, Lazer e Turismo;</w:t>
      </w:r>
    </w:p>
    <w:p w:rsidR="002D7F90" w:rsidRPr="00C12870" w:rsidRDefault="002D7F90" w:rsidP="00C1287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C12870">
        <w:rPr>
          <w:rFonts w:asciiTheme="minorHAnsi" w:hAnsiTheme="minorHAnsi" w:cstheme="minorHAnsi"/>
        </w:rPr>
        <w:t>Engenharia, Ciência e Tecnologia.</w:t>
      </w:r>
    </w:p>
    <w:p w:rsidR="003F72F0" w:rsidRDefault="003F72F0" w:rsidP="002D7F90">
      <w:pPr>
        <w:spacing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:rsidR="002D7F90" w:rsidRPr="002D7F90" w:rsidRDefault="002D7F90" w:rsidP="002D7F9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D7F90">
        <w:rPr>
          <w:rFonts w:asciiTheme="minorHAnsi" w:hAnsiTheme="minorHAnsi" w:cstheme="minorHAnsi"/>
          <w:b/>
        </w:rPr>
        <w:t>Art. 4º.</w:t>
      </w:r>
      <w:r w:rsidRPr="002D7F90">
        <w:rPr>
          <w:rFonts w:asciiTheme="minorHAnsi" w:hAnsiTheme="minorHAnsi" w:cstheme="minorHAnsi"/>
        </w:rPr>
        <w:t xml:space="preserve"> A participação do Município </w:t>
      </w:r>
      <w:r w:rsidR="003F72F0">
        <w:rPr>
          <w:rFonts w:asciiTheme="minorHAnsi" w:hAnsiTheme="minorHAnsi" w:cstheme="minorHAnsi"/>
        </w:rPr>
        <w:t>de Arapongas</w:t>
      </w:r>
      <w:r w:rsidRPr="002D7F90">
        <w:rPr>
          <w:rFonts w:asciiTheme="minorHAnsi" w:hAnsiTheme="minorHAnsi" w:cstheme="minorHAnsi"/>
        </w:rPr>
        <w:t xml:space="preserve"> como ente consorciado ao CISMEL-NCP, o possibilitará firmar convênios, contratos, acordos de qualquer natureza, receber auxílios, contribuições e subvenções sociais ou econômicas de outras entidades e órgãos governamentais nas áreas de sua atuação.</w:t>
      </w:r>
    </w:p>
    <w:p w:rsidR="00C12870" w:rsidRDefault="00C12870" w:rsidP="002D7F90">
      <w:pPr>
        <w:spacing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:rsidR="00C12870" w:rsidRDefault="00C12870" w:rsidP="002D7F90">
      <w:pPr>
        <w:spacing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:rsidR="00C12870" w:rsidRDefault="00C12870" w:rsidP="002D7F90">
      <w:pPr>
        <w:spacing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:rsidR="002D7F90" w:rsidRPr="002D7F90" w:rsidRDefault="002D7F90" w:rsidP="002D7F9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D7F90">
        <w:rPr>
          <w:rFonts w:asciiTheme="minorHAnsi" w:hAnsiTheme="minorHAnsi" w:cstheme="minorHAnsi"/>
          <w:b/>
        </w:rPr>
        <w:t>Art. 5º.</w:t>
      </w:r>
      <w:r w:rsidRPr="002D7F90">
        <w:rPr>
          <w:rFonts w:asciiTheme="minorHAnsi" w:hAnsiTheme="minorHAnsi" w:cstheme="minorHAnsi"/>
        </w:rPr>
        <w:t xml:space="preserve"> O Município </w:t>
      </w:r>
      <w:r w:rsidR="003F72F0">
        <w:rPr>
          <w:rFonts w:asciiTheme="minorHAnsi" w:hAnsiTheme="minorHAnsi" w:cstheme="minorHAnsi"/>
        </w:rPr>
        <w:t>de Arapongas</w:t>
      </w:r>
      <w:r w:rsidRPr="002D7F90">
        <w:rPr>
          <w:rFonts w:asciiTheme="minorHAnsi" w:hAnsiTheme="minorHAnsi" w:cstheme="minorHAnsi"/>
        </w:rPr>
        <w:t xml:space="preserve"> fica autorizado a contratar o Consórcio Público, dispensada a licitação, nos termos do art. 2º, § 1º, III, da Lei nº 11.107/2005 e do art. 18 do Decreto Regulamentador nº 6.017/2007.</w:t>
      </w:r>
    </w:p>
    <w:p w:rsidR="003F72F0" w:rsidRDefault="003F72F0" w:rsidP="002D7F90">
      <w:pPr>
        <w:spacing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:rsidR="002D7F90" w:rsidRPr="002D7F90" w:rsidRDefault="002D7F90" w:rsidP="002D7F9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D7F90">
        <w:rPr>
          <w:rFonts w:asciiTheme="minorHAnsi" w:hAnsiTheme="minorHAnsi" w:cstheme="minorHAnsi"/>
          <w:b/>
        </w:rPr>
        <w:t>Art. 6º.</w:t>
      </w:r>
      <w:r w:rsidRPr="002D7F90">
        <w:rPr>
          <w:rFonts w:asciiTheme="minorHAnsi" w:hAnsiTheme="minorHAnsi" w:cstheme="minorHAnsi"/>
        </w:rPr>
        <w:t xml:space="preserve"> O Município </w:t>
      </w:r>
      <w:r w:rsidR="003F72F0">
        <w:rPr>
          <w:rFonts w:asciiTheme="minorHAnsi" w:hAnsiTheme="minorHAnsi" w:cstheme="minorHAnsi"/>
        </w:rPr>
        <w:t>de Arapongas</w:t>
      </w:r>
      <w:r w:rsidRPr="002D7F90">
        <w:rPr>
          <w:rFonts w:asciiTheme="minorHAnsi" w:hAnsiTheme="minorHAnsi" w:cstheme="minorHAnsi"/>
        </w:rPr>
        <w:t xml:space="preserve"> fica autorizado a participar de licitações compartilhadas realizadas pelo Consórcio, cujo edital preveja contratos a serem celebrados pela administração direta ou indireta dos entes da Federação consorciados, nos termos do art. 19 do Decreto Regulamentador nº 6.017/2007 e do § 1º do art. 112 da Lei nº 8.666, de 21 de junho de 1993.</w:t>
      </w:r>
    </w:p>
    <w:p w:rsidR="003F72F0" w:rsidRDefault="003F72F0" w:rsidP="002D7F90">
      <w:pPr>
        <w:spacing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:rsidR="002D7F90" w:rsidRDefault="002D7F90" w:rsidP="002D7F9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D7F90">
        <w:rPr>
          <w:rFonts w:asciiTheme="minorHAnsi" w:hAnsiTheme="minorHAnsi" w:cstheme="minorHAnsi"/>
          <w:b/>
        </w:rPr>
        <w:t>Art. 7º.</w:t>
      </w:r>
      <w:r w:rsidRPr="002D7F90">
        <w:rPr>
          <w:rFonts w:asciiTheme="minorHAnsi" w:hAnsiTheme="minorHAnsi" w:cstheme="minorHAnsi"/>
        </w:rPr>
        <w:t xml:space="preserve"> O Poder Executivo deverá consignar, em suas peças orçamentárias, dotações para atender as despesas assumidas com o Consórcio Público.</w:t>
      </w:r>
    </w:p>
    <w:p w:rsidR="00C12870" w:rsidRPr="002D7F90" w:rsidRDefault="00C12870" w:rsidP="002D7F9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2D7F90" w:rsidRDefault="002D7F90" w:rsidP="002D7F9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D7F90">
        <w:rPr>
          <w:rFonts w:asciiTheme="minorHAnsi" w:hAnsiTheme="minorHAnsi" w:cstheme="minorHAnsi"/>
          <w:b/>
        </w:rPr>
        <w:t>§ 1º.</w:t>
      </w:r>
      <w:r w:rsidRPr="002D7F90">
        <w:rPr>
          <w:rFonts w:asciiTheme="minorHAnsi" w:hAnsiTheme="minorHAnsi" w:cstheme="minorHAnsi"/>
        </w:rPr>
        <w:t xml:space="preserve"> A formalização de Contrato de Rateio se dará em cada exercício financeiro e seu prazo de vigência não será superior ao das dotações que o suportam, com exceção dos contratos que tenham por objeto exclusivamente projetos consistentes em programas e ações contemplados em plano plurianual ou a gestão associada de serviços públicos custeados por tarifas ou outros preços públicos.</w:t>
      </w:r>
    </w:p>
    <w:p w:rsidR="00C12870" w:rsidRPr="002D7F90" w:rsidRDefault="00C12870" w:rsidP="002D7F9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2D7F90" w:rsidRPr="002D7F90" w:rsidRDefault="002D7F90" w:rsidP="002D7F9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D7F90">
        <w:rPr>
          <w:rFonts w:asciiTheme="minorHAnsi" w:hAnsiTheme="minorHAnsi" w:cstheme="minorHAnsi"/>
          <w:b/>
        </w:rPr>
        <w:t>§ 2º.</w:t>
      </w:r>
      <w:r w:rsidRPr="002D7F90">
        <w:rPr>
          <w:rFonts w:asciiTheme="minorHAnsi" w:hAnsiTheme="minorHAnsi" w:cstheme="minorHAnsi"/>
        </w:rPr>
        <w:t xml:space="preserve"> É vedada a aplicação dos recursos entregues por meio de Contrato de Rateio, inclusive os oriundos de transferências ou operações de crédito, para o atendimento de despesas classificadas como genéricas.</w:t>
      </w:r>
    </w:p>
    <w:p w:rsidR="003F72F0" w:rsidRDefault="003F72F0" w:rsidP="002D7F90">
      <w:pPr>
        <w:spacing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:rsidR="002D7F90" w:rsidRPr="002D7F90" w:rsidRDefault="002D7F90" w:rsidP="002D7F9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2D7F90">
        <w:rPr>
          <w:rFonts w:asciiTheme="minorHAnsi" w:hAnsiTheme="minorHAnsi" w:cstheme="minorHAnsi"/>
          <w:b/>
        </w:rPr>
        <w:t>Art. 8º.</w:t>
      </w:r>
      <w:r w:rsidRPr="002D7F90">
        <w:rPr>
          <w:rFonts w:asciiTheme="minorHAnsi" w:hAnsiTheme="minorHAnsi" w:cstheme="minorHAnsi"/>
        </w:rPr>
        <w:t xml:space="preserve"> Esta Lei entra em vigor na data da publicação, revogando-se as disposições em contrário.</w:t>
      </w:r>
    </w:p>
    <w:p w:rsidR="000D5143" w:rsidRPr="0056178F" w:rsidRDefault="000D5143" w:rsidP="000D5143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</w:p>
    <w:p w:rsidR="000D5143" w:rsidRPr="0056178F" w:rsidRDefault="000D5143" w:rsidP="000D5143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  <w:r w:rsidRPr="0056178F">
        <w:rPr>
          <w:rFonts w:asciiTheme="minorHAnsi" w:hAnsiTheme="minorHAnsi" w:cstheme="minorHAnsi"/>
        </w:rPr>
        <w:t xml:space="preserve">Arapongas, </w:t>
      </w:r>
      <w:r w:rsidR="00C12870">
        <w:rPr>
          <w:rFonts w:asciiTheme="minorHAnsi" w:hAnsiTheme="minorHAnsi" w:cstheme="minorHAnsi"/>
        </w:rPr>
        <w:t>16</w:t>
      </w:r>
      <w:r w:rsidRPr="0056178F">
        <w:rPr>
          <w:rFonts w:asciiTheme="minorHAnsi" w:hAnsiTheme="minorHAnsi" w:cstheme="minorHAnsi"/>
        </w:rPr>
        <w:t xml:space="preserve"> de </w:t>
      </w:r>
      <w:r w:rsidR="00C12870">
        <w:rPr>
          <w:rFonts w:asciiTheme="minorHAnsi" w:hAnsiTheme="minorHAnsi" w:cstheme="minorHAnsi"/>
        </w:rPr>
        <w:t>maio</w:t>
      </w:r>
      <w:r w:rsidRPr="0056178F">
        <w:rPr>
          <w:rFonts w:asciiTheme="minorHAnsi" w:hAnsiTheme="minorHAnsi" w:cstheme="minorHAnsi"/>
        </w:rPr>
        <w:t xml:space="preserve"> de 2022.</w:t>
      </w:r>
    </w:p>
    <w:p w:rsidR="000D5143" w:rsidRPr="0056178F" w:rsidRDefault="000D5143" w:rsidP="000D5143">
      <w:pPr>
        <w:spacing w:line="276" w:lineRule="auto"/>
        <w:rPr>
          <w:rFonts w:asciiTheme="minorHAnsi" w:hAnsiTheme="minorHAnsi" w:cstheme="minorHAnsi"/>
        </w:rPr>
      </w:pPr>
    </w:p>
    <w:p w:rsidR="000D5143" w:rsidRPr="0056178F" w:rsidRDefault="000D5143" w:rsidP="000D5143">
      <w:pPr>
        <w:spacing w:line="276" w:lineRule="auto"/>
        <w:rPr>
          <w:rFonts w:asciiTheme="minorHAnsi" w:hAnsiTheme="minorHAnsi" w:cstheme="minorHAnsi"/>
        </w:rPr>
      </w:pPr>
    </w:p>
    <w:p w:rsidR="000D5143" w:rsidRDefault="000D5143" w:rsidP="000D5143">
      <w:pPr>
        <w:spacing w:line="276" w:lineRule="auto"/>
        <w:rPr>
          <w:rFonts w:asciiTheme="minorHAnsi" w:hAnsiTheme="minorHAnsi" w:cstheme="minorHAnsi"/>
        </w:rPr>
      </w:pPr>
    </w:p>
    <w:p w:rsidR="00C12870" w:rsidRPr="0056178F" w:rsidRDefault="00C12870" w:rsidP="000D5143">
      <w:pPr>
        <w:spacing w:line="276" w:lineRule="auto"/>
        <w:rPr>
          <w:rFonts w:asciiTheme="minorHAnsi" w:hAnsiTheme="minorHAnsi" w:cstheme="minorHAnsi"/>
        </w:rPr>
      </w:pPr>
    </w:p>
    <w:p w:rsidR="000D5143" w:rsidRPr="0056178F" w:rsidRDefault="000D5143" w:rsidP="00C12870">
      <w:pPr>
        <w:rPr>
          <w:rFonts w:asciiTheme="minorHAnsi" w:hAnsiTheme="minorHAnsi" w:cstheme="minorHAnsi"/>
        </w:rPr>
      </w:pPr>
    </w:p>
    <w:p w:rsidR="000D5143" w:rsidRPr="0056178F" w:rsidRDefault="000D5143" w:rsidP="00C12870">
      <w:pPr>
        <w:jc w:val="center"/>
        <w:rPr>
          <w:rFonts w:asciiTheme="minorHAnsi" w:hAnsiTheme="minorHAnsi" w:cstheme="minorHAnsi"/>
        </w:rPr>
      </w:pPr>
    </w:p>
    <w:p w:rsidR="000D5143" w:rsidRPr="0056178F" w:rsidRDefault="000D5143" w:rsidP="00C12870">
      <w:pPr>
        <w:jc w:val="center"/>
        <w:rPr>
          <w:rFonts w:asciiTheme="minorHAnsi" w:hAnsiTheme="minorHAnsi" w:cstheme="minorHAnsi"/>
          <w:b/>
        </w:rPr>
      </w:pPr>
      <w:r w:rsidRPr="0056178F">
        <w:rPr>
          <w:rFonts w:asciiTheme="minorHAnsi" w:hAnsiTheme="minorHAnsi" w:cstheme="minorHAnsi"/>
          <w:b/>
        </w:rPr>
        <w:t>SÉRGIO ONOFRE DA SILVA</w:t>
      </w:r>
    </w:p>
    <w:p w:rsidR="000D5143" w:rsidRPr="0056178F" w:rsidRDefault="000D5143" w:rsidP="00C1287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Prefeito</w:t>
      </w:r>
    </w:p>
    <w:p w:rsidR="009F3737" w:rsidRPr="000D5143" w:rsidRDefault="009F3737" w:rsidP="00C12870"/>
    <w:sectPr w:rsidR="009F3737" w:rsidRPr="000D5143" w:rsidSect="00C12870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B1" w:rsidRDefault="00AB52B1">
      <w:r>
        <w:separator/>
      </w:r>
    </w:p>
  </w:endnote>
  <w:endnote w:type="continuationSeparator" w:id="0">
    <w:p w:rsidR="00AB52B1" w:rsidRDefault="00AB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B1" w:rsidRDefault="00AB52B1">
      <w:r>
        <w:separator/>
      </w:r>
    </w:p>
  </w:footnote>
  <w:footnote w:type="continuationSeparator" w:id="0">
    <w:p w:rsidR="00AB52B1" w:rsidRDefault="00AB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89"/>
    </w:tblGrid>
    <w:tr w:rsidR="0078236D" w:rsidTr="0056178F">
      <w:trPr>
        <w:trHeight w:val="918"/>
        <w:jc w:val="center"/>
      </w:trPr>
      <w:tc>
        <w:tcPr>
          <w:tcW w:w="8989" w:type="dxa"/>
        </w:tcPr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6" w:dyaOrig="1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65pt;height:55.65pt">
                <v:imagedata r:id="rId1" o:title=""/>
              </v:shape>
              <o:OLEObject Type="Embed" ProgID="CorelDRAW.Graphic.13" ShapeID="_x0000_i1025" DrawAspect="Content" ObjectID="_1714197146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07B79BC"/>
    <w:multiLevelType w:val="hybridMultilevel"/>
    <w:tmpl w:val="FFB0A06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8" w15:restartNumberingAfterBreak="0">
    <w:nsid w:val="1B2C298B"/>
    <w:multiLevelType w:val="hybridMultilevel"/>
    <w:tmpl w:val="D65AD0E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6DD7197"/>
    <w:multiLevelType w:val="hybridMultilevel"/>
    <w:tmpl w:val="9EC0A0C2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11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A01AE"/>
    <w:rsid w:val="000A61D7"/>
    <w:rsid w:val="000B39DA"/>
    <w:rsid w:val="000B770E"/>
    <w:rsid w:val="000D5143"/>
    <w:rsid w:val="000E4CF2"/>
    <w:rsid w:val="001022D5"/>
    <w:rsid w:val="001023BC"/>
    <w:rsid w:val="0010285C"/>
    <w:rsid w:val="001049DD"/>
    <w:rsid w:val="00110258"/>
    <w:rsid w:val="00111A75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E4D96"/>
    <w:rsid w:val="001F0D29"/>
    <w:rsid w:val="002001A6"/>
    <w:rsid w:val="0021044D"/>
    <w:rsid w:val="00227883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D7F90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19A1"/>
    <w:rsid w:val="00323389"/>
    <w:rsid w:val="0032580A"/>
    <w:rsid w:val="0033410E"/>
    <w:rsid w:val="00351119"/>
    <w:rsid w:val="00351900"/>
    <w:rsid w:val="003538EF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3F72F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28E6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6178F"/>
    <w:rsid w:val="00570CE7"/>
    <w:rsid w:val="0057493D"/>
    <w:rsid w:val="00594716"/>
    <w:rsid w:val="0059612F"/>
    <w:rsid w:val="005A0CFB"/>
    <w:rsid w:val="005A49EB"/>
    <w:rsid w:val="005B53EA"/>
    <w:rsid w:val="005B5879"/>
    <w:rsid w:val="005C0F14"/>
    <w:rsid w:val="005C7B8E"/>
    <w:rsid w:val="005D2CB0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3395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D2B7E"/>
    <w:rsid w:val="007E1D22"/>
    <w:rsid w:val="007E2FA3"/>
    <w:rsid w:val="007F02F1"/>
    <w:rsid w:val="007F3D41"/>
    <w:rsid w:val="00800488"/>
    <w:rsid w:val="00815EC4"/>
    <w:rsid w:val="00822250"/>
    <w:rsid w:val="008225B6"/>
    <w:rsid w:val="00823DD0"/>
    <w:rsid w:val="0082466D"/>
    <w:rsid w:val="008424C7"/>
    <w:rsid w:val="00854502"/>
    <w:rsid w:val="00862F35"/>
    <w:rsid w:val="008640E3"/>
    <w:rsid w:val="008646F8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33A6"/>
    <w:rsid w:val="00976ACF"/>
    <w:rsid w:val="00983EF7"/>
    <w:rsid w:val="009911AF"/>
    <w:rsid w:val="0099184F"/>
    <w:rsid w:val="009A79B8"/>
    <w:rsid w:val="009B2D04"/>
    <w:rsid w:val="009B5203"/>
    <w:rsid w:val="009B64FE"/>
    <w:rsid w:val="009B778D"/>
    <w:rsid w:val="009C3B2A"/>
    <w:rsid w:val="009C68AE"/>
    <w:rsid w:val="009D0E8B"/>
    <w:rsid w:val="009D4D25"/>
    <w:rsid w:val="009D720F"/>
    <w:rsid w:val="009F3737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52B1"/>
    <w:rsid w:val="00AB7643"/>
    <w:rsid w:val="00AC2B23"/>
    <w:rsid w:val="00AC6662"/>
    <w:rsid w:val="00AE1B56"/>
    <w:rsid w:val="00AE3F27"/>
    <w:rsid w:val="00AF7ED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F01EC"/>
    <w:rsid w:val="00BF1F0D"/>
    <w:rsid w:val="00BF4E4E"/>
    <w:rsid w:val="00BF709D"/>
    <w:rsid w:val="00C120BE"/>
    <w:rsid w:val="00C12870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316A4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41BDE"/>
    <w:rsid w:val="00E64DB2"/>
    <w:rsid w:val="00E70B1E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4BB0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697F052"/>
  <w15:docId w15:val="{D0133326-BC0C-4A5D-909A-D8FE96C7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49F9-8A87-4422-A417-D9606927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subject/>
  <dc:creator>cristiane.ito</dc:creator>
  <cp:keywords/>
  <dc:description/>
  <cp:lastModifiedBy>Kátia Regina Miquelon</cp:lastModifiedBy>
  <cp:revision>4</cp:revision>
  <cp:lastPrinted>2022-03-25T13:33:00Z</cp:lastPrinted>
  <dcterms:created xsi:type="dcterms:W3CDTF">2022-05-13T17:33:00Z</dcterms:created>
  <dcterms:modified xsi:type="dcterms:W3CDTF">2022-05-16T12:06:00Z</dcterms:modified>
</cp:coreProperties>
</file>