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8D" w:rsidRPr="00C81EFE" w:rsidRDefault="00E2488D" w:rsidP="00C81EFE">
      <w:pPr>
        <w:spacing w:line="276" w:lineRule="auto"/>
        <w:jc w:val="center"/>
        <w:rPr>
          <w:rFonts w:asciiTheme="minorHAnsi" w:hAnsiTheme="minorHAnsi" w:cstheme="minorHAnsi"/>
          <w:b/>
          <w:bCs/>
          <w:sz w:val="12"/>
          <w:szCs w:val="12"/>
          <w:u w:val="single"/>
        </w:rPr>
      </w:pPr>
    </w:p>
    <w:p w:rsidR="004D2C89" w:rsidRPr="00C81EFE" w:rsidRDefault="009427B5" w:rsidP="00C81EFE">
      <w:pPr>
        <w:spacing w:line="276" w:lineRule="auto"/>
        <w:jc w:val="center"/>
        <w:rPr>
          <w:rFonts w:asciiTheme="minorHAnsi" w:hAnsiTheme="minorHAnsi" w:cstheme="minorHAnsi"/>
          <w:b/>
          <w:bCs/>
          <w:sz w:val="22"/>
          <w:szCs w:val="22"/>
          <w:u w:val="single"/>
        </w:rPr>
      </w:pPr>
      <w:r w:rsidRPr="00C81EFE">
        <w:rPr>
          <w:rFonts w:asciiTheme="minorHAnsi" w:hAnsiTheme="minorHAnsi" w:cstheme="minorHAnsi"/>
          <w:b/>
          <w:bCs/>
          <w:sz w:val="22"/>
          <w:szCs w:val="22"/>
          <w:u w:val="single"/>
        </w:rPr>
        <w:t xml:space="preserve">PROJETO DE LEI Nº. </w:t>
      </w:r>
      <w:r w:rsidR="00510723" w:rsidRPr="00C81EFE">
        <w:rPr>
          <w:rFonts w:asciiTheme="minorHAnsi" w:hAnsiTheme="minorHAnsi" w:cstheme="minorHAnsi"/>
          <w:b/>
          <w:bCs/>
          <w:sz w:val="22"/>
          <w:szCs w:val="22"/>
          <w:u w:val="single"/>
        </w:rPr>
        <w:t>040/22</w:t>
      </w:r>
      <w:r w:rsidRPr="00C81EFE">
        <w:rPr>
          <w:rFonts w:asciiTheme="minorHAnsi" w:hAnsiTheme="minorHAnsi" w:cstheme="minorHAnsi"/>
          <w:b/>
          <w:bCs/>
          <w:sz w:val="22"/>
          <w:szCs w:val="22"/>
          <w:u w:val="single"/>
        </w:rPr>
        <w:t xml:space="preserve">, DE </w:t>
      </w:r>
      <w:r w:rsidR="00E2488D" w:rsidRPr="00C81EFE">
        <w:rPr>
          <w:rFonts w:asciiTheme="minorHAnsi" w:hAnsiTheme="minorHAnsi" w:cstheme="minorHAnsi"/>
          <w:b/>
          <w:bCs/>
          <w:sz w:val="22"/>
          <w:szCs w:val="22"/>
          <w:u w:val="single"/>
        </w:rPr>
        <w:t>21</w:t>
      </w:r>
      <w:r w:rsidR="00D62697" w:rsidRPr="00C81EFE">
        <w:rPr>
          <w:rFonts w:asciiTheme="minorHAnsi" w:hAnsiTheme="minorHAnsi" w:cstheme="minorHAnsi"/>
          <w:b/>
          <w:bCs/>
          <w:sz w:val="22"/>
          <w:szCs w:val="22"/>
          <w:u w:val="single"/>
        </w:rPr>
        <w:t xml:space="preserve"> DE </w:t>
      </w:r>
      <w:r w:rsidR="00F74BBC" w:rsidRPr="00C81EFE">
        <w:rPr>
          <w:rFonts w:asciiTheme="minorHAnsi" w:hAnsiTheme="minorHAnsi" w:cstheme="minorHAnsi"/>
          <w:b/>
          <w:bCs/>
          <w:sz w:val="22"/>
          <w:szCs w:val="22"/>
          <w:u w:val="single"/>
        </w:rPr>
        <w:t>JU</w:t>
      </w:r>
      <w:r w:rsidR="00E2488D" w:rsidRPr="00C81EFE">
        <w:rPr>
          <w:rFonts w:asciiTheme="minorHAnsi" w:hAnsiTheme="minorHAnsi" w:cstheme="minorHAnsi"/>
          <w:b/>
          <w:bCs/>
          <w:sz w:val="22"/>
          <w:szCs w:val="22"/>
          <w:u w:val="single"/>
        </w:rPr>
        <w:t>L</w:t>
      </w:r>
      <w:r w:rsidR="00F74BBC" w:rsidRPr="00C81EFE">
        <w:rPr>
          <w:rFonts w:asciiTheme="minorHAnsi" w:hAnsiTheme="minorHAnsi" w:cstheme="minorHAnsi"/>
          <w:b/>
          <w:bCs/>
          <w:sz w:val="22"/>
          <w:szCs w:val="22"/>
          <w:u w:val="single"/>
        </w:rPr>
        <w:t>HO DE 202</w:t>
      </w:r>
      <w:r w:rsidR="00D40A16" w:rsidRPr="00C81EFE">
        <w:rPr>
          <w:rFonts w:asciiTheme="minorHAnsi" w:hAnsiTheme="minorHAnsi" w:cstheme="minorHAnsi"/>
          <w:b/>
          <w:bCs/>
          <w:sz w:val="22"/>
          <w:szCs w:val="22"/>
          <w:u w:val="single"/>
        </w:rPr>
        <w:t>2</w:t>
      </w:r>
    </w:p>
    <w:p w:rsidR="00E95F32" w:rsidRPr="00C81EFE" w:rsidRDefault="00E95F32" w:rsidP="00C81EFE">
      <w:pPr>
        <w:pStyle w:val="Recuodecorpodetexto"/>
        <w:spacing w:after="0" w:line="276" w:lineRule="auto"/>
        <w:ind w:left="4200" w:firstLine="0"/>
        <w:rPr>
          <w:rFonts w:asciiTheme="minorHAnsi" w:hAnsiTheme="minorHAnsi" w:cstheme="minorHAnsi"/>
          <w:color w:val="auto"/>
          <w:sz w:val="22"/>
          <w:szCs w:val="22"/>
        </w:rPr>
      </w:pPr>
    </w:p>
    <w:p w:rsidR="00A30011" w:rsidRPr="00C81EFE" w:rsidRDefault="00872923" w:rsidP="00C81EFE">
      <w:pPr>
        <w:pStyle w:val="Recuodecorpodetexto2"/>
        <w:spacing w:after="0" w:afterAutospacing="0" w:line="276" w:lineRule="auto"/>
        <w:ind w:left="4820"/>
        <w:rPr>
          <w:rFonts w:asciiTheme="minorHAnsi" w:hAnsiTheme="minorHAnsi" w:cstheme="minorHAnsi"/>
          <w:b/>
          <w:szCs w:val="22"/>
        </w:rPr>
      </w:pPr>
      <w:r w:rsidRPr="00C81EFE">
        <w:rPr>
          <w:rFonts w:asciiTheme="minorHAnsi" w:hAnsiTheme="minorHAnsi" w:cstheme="minorHAnsi"/>
          <w:b/>
          <w:szCs w:val="22"/>
        </w:rPr>
        <w:t xml:space="preserve">Dispõe sobre o benefício da gratuidade no transporte coletivo </w:t>
      </w:r>
      <w:bookmarkStart w:id="0" w:name="_GoBack"/>
      <w:bookmarkEnd w:id="0"/>
      <w:r w:rsidRPr="00C81EFE">
        <w:rPr>
          <w:rFonts w:asciiTheme="minorHAnsi" w:hAnsiTheme="minorHAnsi" w:cstheme="minorHAnsi"/>
          <w:b/>
          <w:szCs w:val="22"/>
        </w:rPr>
        <w:t>de Arapongas, cria a Comissão Gestora de Gratuidade e dá outras providências</w:t>
      </w:r>
      <w:r w:rsidR="008140F9" w:rsidRPr="00C81EFE">
        <w:rPr>
          <w:rFonts w:asciiTheme="minorHAnsi" w:hAnsiTheme="minorHAnsi" w:cstheme="minorHAnsi"/>
          <w:b/>
          <w:szCs w:val="22"/>
        </w:rPr>
        <w:t xml:space="preserve">. </w:t>
      </w:r>
    </w:p>
    <w:p w:rsidR="00872923" w:rsidRPr="00C81EFE" w:rsidRDefault="00872923" w:rsidP="00C81EFE">
      <w:pPr>
        <w:spacing w:line="276" w:lineRule="auto"/>
        <w:ind w:firstLine="1134"/>
        <w:jc w:val="right"/>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bookmarkStart w:id="1" w:name="artigo_1"/>
      <w:r w:rsidRPr="00C81EFE">
        <w:rPr>
          <w:rFonts w:asciiTheme="minorHAnsi" w:hAnsiTheme="minorHAnsi" w:cstheme="minorHAnsi"/>
          <w:b/>
          <w:bCs/>
          <w:sz w:val="22"/>
          <w:szCs w:val="22"/>
        </w:rPr>
        <w:t>Art. 1º</w:t>
      </w:r>
      <w:bookmarkEnd w:id="1"/>
      <w:r w:rsidRPr="00C81EFE">
        <w:rPr>
          <w:rFonts w:asciiTheme="minorHAnsi" w:hAnsiTheme="minorHAnsi" w:cstheme="minorHAnsi"/>
          <w:sz w:val="22"/>
          <w:szCs w:val="22"/>
        </w:rPr>
        <w:t> Esta Lei dispõe sobre o benefício da gratuidade no transporte coletivo urbano aos cidadãos residentes no Município de Arapongas, que se enquadrem nos seguintes requisitos:</w:t>
      </w:r>
    </w:p>
    <w:p w:rsidR="00872923" w:rsidRPr="00C81EFE" w:rsidRDefault="00872923" w:rsidP="00C81EFE">
      <w:pPr>
        <w:spacing w:line="276" w:lineRule="auto"/>
        <w:ind w:left="1134"/>
        <w:jc w:val="both"/>
        <w:rPr>
          <w:rFonts w:asciiTheme="minorHAnsi" w:hAnsiTheme="minorHAnsi" w:cstheme="minorHAnsi"/>
          <w:sz w:val="22"/>
          <w:szCs w:val="22"/>
        </w:rPr>
      </w:pPr>
      <w:r w:rsidRPr="00C81EFE">
        <w:rPr>
          <w:rFonts w:asciiTheme="minorHAnsi" w:hAnsiTheme="minorHAnsi" w:cstheme="minorHAnsi"/>
          <w:sz w:val="22"/>
          <w:szCs w:val="22"/>
        </w:rPr>
        <w:br/>
        <w:t>I – Pessoa com deficiência, estendido ao seu acompanhante;</w:t>
      </w:r>
    </w:p>
    <w:p w:rsidR="00E2488D" w:rsidRPr="00C81EFE" w:rsidRDefault="00872923" w:rsidP="00C81EFE">
      <w:pPr>
        <w:spacing w:line="276" w:lineRule="auto"/>
        <w:ind w:left="1134"/>
        <w:jc w:val="both"/>
        <w:rPr>
          <w:rFonts w:asciiTheme="minorHAnsi" w:hAnsiTheme="minorHAnsi" w:cstheme="minorHAnsi"/>
          <w:sz w:val="22"/>
          <w:szCs w:val="22"/>
        </w:rPr>
      </w:pPr>
      <w:r w:rsidRPr="00C81EFE">
        <w:rPr>
          <w:rFonts w:asciiTheme="minorHAnsi" w:hAnsiTheme="minorHAnsi" w:cstheme="minorHAnsi"/>
          <w:sz w:val="22"/>
          <w:szCs w:val="22"/>
        </w:rPr>
        <w:br/>
        <w:t xml:space="preserve">§ 1º Entende-se por pessoa com deficiência, previstas no inciso I, a pessoa com </w:t>
      </w:r>
    </w:p>
    <w:p w:rsidR="00872923" w:rsidRPr="00C81EFE" w:rsidRDefault="00872923" w:rsidP="00C81EFE">
      <w:pPr>
        <w:spacing w:line="276" w:lineRule="auto"/>
        <w:ind w:left="1134"/>
        <w:jc w:val="both"/>
        <w:rPr>
          <w:rFonts w:asciiTheme="minorHAnsi" w:hAnsiTheme="minorHAnsi" w:cstheme="minorHAnsi"/>
          <w:sz w:val="22"/>
          <w:szCs w:val="22"/>
        </w:rPr>
      </w:pPr>
      <w:proofErr w:type="gramStart"/>
      <w:r w:rsidRPr="00C81EFE">
        <w:rPr>
          <w:rFonts w:asciiTheme="minorHAnsi" w:hAnsiTheme="minorHAnsi" w:cstheme="minorHAnsi"/>
          <w:sz w:val="22"/>
          <w:szCs w:val="22"/>
        </w:rPr>
        <w:t>uma</w:t>
      </w:r>
      <w:proofErr w:type="gramEnd"/>
      <w:r w:rsidRPr="00C81EFE">
        <w:rPr>
          <w:rFonts w:asciiTheme="minorHAnsi" w:hAnsiTheme="minorHAnsi" w:cstheme="minorHAnsi"/>
          <w:sz w:val="22"/>
          <w:szCs w:val="22"/>
        </w:rPr>
        <w:t xml:space="preserve"> ou mais deficiências relacionadas no Anexo Único desta lei, com os requisitos nele estabelecidos.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§2º Incumbirá à Secretaria Municipal de Obras, Transportes e Desenvolvimento Urbano e à Secretaria Municipal de Saúde, definir e atualizar a listagem que consta no Anexo Único, mediante portaria conjunta.</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3º Na hipótese do inciso I, do caput, será fornecida a gratuidade para 01 (um) acompanhante quando o requerente ao benefício for incapaz e imprescindível o auxílio de outra pessoa para a sua locomoção, comprovando essa necessidade através de laudo médico.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4º Os acompanhantes referidos no parágrafo anterior somente gozarão do benefício da gratuidade e embarcarão quando estiverem acompanhados do titular do benefício.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 – Pessoas com câncer, durante o tratamento;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III – Pessoa com transtorno do espectro autista;</w:t>
      </w:r>
    </w:p>
    <w:p w:rsidR="00470CFA" w:rsidRPr="00C81EFE" w:rsidRDefault="00470CFA" w:rsidP="00C81EFE">
      <w:pPr>
        <w:spacing w:line="276" w:lineRule="auto"/>
        <w:ind w:firstLine="1134"/>
        <w:jc w:val="both"/>
        <w:rPr>
          <w:rFonts w:asciiTheme="minorHAnsi" w:hAnsiTheme="minorHAnsi" w:cstheme="minorHAnsi"/>
          <w:sz w:val="22"/>
          <w:szCs w:val="22"/>
        </w:rPr>
      </w:pPr>
    </w:p>
    <w:p w:rsidR="00470CFA" w:rsidRPr="00C81EFE" w:rsidRDefault="00470CFA"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xml:space="preserve">IV – Idosos acima de 65 </w:t>
      </w:r>
      <w:r w:rsidR="00DA74EB" w:rsidRPr="00C81EFE">
        <w:rPr>
          <w:rFonts w:asciiTheme="minorHAnsi" w:hAnsiTheme="minorHAnsi" w:cstheme="minorHAnsi"/>
          <w:sz w:val="22"/>
          <w:szCs w:val="22"/>
        </w:rPr>
        <w:t xml:space="preserve">(sessenta e cinco) </w:t>
      </w:r>
      <w:r w:rsidRPr="00C81EFE">
        <w:rPr>
          <w:rFonts w:asciiTheme="minorHAnsi" w:hAnsiTheme="minorHAnsi" w:cstheme="minorHAnsi"/>
          <w:sz w:val="22"/>
          <w:szCs w:val="22"/>
        </w:rPr>
        <w:t>anos</w:t>
      </w:r>
      <w:r w:rsidR="00DA74EB" w:rsidRPr="00C81EFE">
        <w:rPr>
          <w:rFonts w:asciiTheme="minorHAnsi" w:hAnsiTheme="minorHAnsi" w:cstheme="minorHAnsi"/>
          <w:sz w:val="22"/>
          <w:szCs w:val="22"/>
        </w:rPr>
        <w:t xml:space="preserve"> de idade</w:t>
      </w:r>
      <w:r w:rsidRPr="00C81EFE">
        <w:rPr>
          <w:rFonts w:asciiTheme="minorHAnsi" w:hAnsiTheme="minorHAnsi" w:cstheme="minorHAnsi"/>
          <w:sz w:val="22"/>
          <w:szCs w:val="22"/>
        </w:rPr>
        <w:t>;</w:t>
      </w:r>
    </w:p>
    <w:p w:rsidR="00470CFA" w:rsidRPr="00C81EFE" w:rsidRDefault="00470CFA"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V – Empregado da EBCT – Empresa Brasileira de Correios e Telégrafos, quando em serviço e uniformizados;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V</w:t>
      </w:r>
      <w:r w:rsidR="00470CFA" w:rsidRPr="00C81EFE">
        <w:rPr>
          <w:rFonts w:asciiTheme="minorHAnsi" w:hAnsiTheme="minorHAnsi" w:cstheme="minorHAnsi"/>
          <w:sz w:val="22"/>
          <w:szCs w:val="22"/>
        </w:rPr>
        <w:t>I</w:t>
      </w:r>
      <w:r w:rsidRPr="00C81EFE">
        <w:rPr>
          <w:rFonts w:asciiTheme="minorHAnsi" w:hAnsiTheme="minorHAnsi" w:cstheme="minorHAnsi"/>
          <w:sz w:val="22"/>
          <w:szCs w:val="22"/>
        </w:rPr>
        <w:t xml:space="preserve"> – Policiais militares, policiais civi</w:t>
      </w:r>
      <w:r w:rsidR="00F91838" w:rsidRPr="00C81EFE">
        <w:rPr>
          <w:rFonts w:asciiTheme="minorHAnsi" w:hAnsiTheme="minorHAnsi" w:cstheme="minorHAnsi"/>
          <w:sz w:val="22"/>
          <w:szCs w:val="22"/>
        </w:rPr>
        <w:t xml:space="preserve">s, bombeiros e guardas municipais, </w:t>
      </w:r>
      <w:r w:rsidRPr="00C81EFE">
        <w:rPr>
          <w:rFonts w:asciiTheme="minorHAnsi" w:hAnsiTheme="minorHAnsi" w:cstheme="minorHAnsi"/>
          <w:sz w:val="22"/>
          <w:szCs w:val="22"/>
        </w:rPr>
        <w:t>quando em serviço, mediante identificação de carteira funcional;</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VI</w:t>
      </w:r>
      <w:r w:rsidR="00470CFA" w:rsidRPr="00C81EFE">
        <w:rPr>
          <w:rFonts w:asciiTheme="minorHAnsi" w:hAnsiTheme="minorHAnsi" w:cstheme="minorHAnsi"/>
          <w:sz w:val="22"/>
          <w:szCs w:val="22"/>
        </w:rPr>
        <w:t>I</w:t>
      </w:r>
      <w:r w:rsidRPr="00C81EFE">
        <w:rPr>
          <w:rFonts w:asciiTheme="minorHAnsi" w:hAnsiTheme="minorHAnsi" w:cstheme="minorHAnsi"/>
          <w:sz w:val="22"/>
          <w:szCs w:val="22"/>
        </w:rPr>
        <w:t xml:space="preserve"> – Agentes comunitários de saúde e auxiliares de enfermagem, contratados pela Prefeitura do Município de Arapongas;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lastRenderedPageBreak/>
        <w:t>VII</w:t>
      </w:r>
      <w:r w:rsidR="00470CFA" w:rsidRPr="00C81EFE">
        <w:rPr>
          <w:rFonts w:asciiTheme="minorHAnsi" w:hAnsiTheme="minorHAnsi" w:cstheme="minorHAnsi"/>
          <w:sz w:val="22"/>
          <w:szCs w:val="22"/>
        </w:rPr>
        <w:t>I</w:t>
      </w:r>
      <w:r w:rsidRPr="00C81EFE">
        <w:rPr>
          <w:rFonts w:asciiTheme="minorHAnsi" w:hAnsiTheme="minorHAnsi" w:cstheme="minorHAnsi"/>
          <w:sz w:val="22"/>
          <w:szCs w:val="22"/>
        </w:rPr>
        <w:t xml:space="preserve"> – Mulheres gestantes residentes no Município de Arapongas, a partir do exame de comprovação da gravidez e mediante atestado ou requisições médicas, até os primeiros 30 (trinta) dias de vida do recém-nascido.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bookmarkStart w:id="2" w:name="artigo_4"/>
      <w:r w:rsidRPr="00C81EFE">
        <w:rPr>
          <w:rFonts w:asciiTheme="minorHAnsi" w:hAnsiTheme="minorHAnsi" w:cstheme="minorHAnsi"/>
          <w:b/>
          <w:bCs/>
          <w:sz w:val="22"/>
          <w:szCs w:val="22"/>
        </w:rPr>
        <w:t>Art. 2º</w:t>
      </w:r>
      <w:bookmarkEnd w:id="2"/>
      <w:r w:rsidRPr="00C81EFE">
        <w:rPr>
          <w:rFonts w:asciiTheme="minorHAnsi" w:hAnsiTheme="minorHAnsi" w:cstheme="minorHAnsi"/>
          <w:sz w:val="22"/>
          <w:szCs w:val="22"/>
        </w:rPr>
        <w:t> Os beneficiários legais da gratuidade no Sistema de Transporte de Arapongas, bem como seus acompanhantes deverão embarcar mediante a apresentação do cartão da gratuidade, e deverão passar pela roleta do transporte público para a devida contabilização.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Parágrafo único. Para os beneficiários que estiverem fisicamente impossibilitados de passarem na roleta, a gratuidade fica condicionada a apresentação do cartão para a contabilização da viagem.</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bookmarkStart w:id="3" w:name="artigo_6"/>
      <w:r w:rsidRPr="00C81EFE">
        <w:rPr>
          <w:rFonts w:asciiTheme="minorHAnsi" w:hAnsiTheme="minorHAnsi" w:cstheme="minorHAnsi"/>
          <w:b/>
          <w:bCs/>
          <w:sz w:val="22"/>
          <w:szCs w:val="22"/>
        </w:rPr>
        <w:t>Art. 3º</w:t>
      </w:r>
      <w:bookmarkEnd w:id="3"/>
      <w:r w:rsidRPr="00C81EFE">
        <w:rPr>
          <w:rFonts w:asciiTheme="minorHAnsi" w:hAnsiTheme="minorHAnsi" w:cstheme="minorHAnsi"/>
          <w:sz w:val="22"/>
          <w:szCs w:val="22"/>
        </w:rPr>
        <w:t> Os beneficiários dos incisos II e III, do artigo 1º, deverão renovar anualmente seu cadastro junto ao Poder Público Municipal, devendo apresentar:</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 - Cópia do documento de identificação com foto;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 - Comprovante de residência no Município de Arapongas;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III - Demais documentos que se façam necessários para a comprovação dos requisitos contidos no Anexo Único.</w:t>
      </w:r>
    </w:p>
    <w:p w:rsidR="006322F4" w:rsidRPr="00C81EFE" w:rsidRDefault="006322F4"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1º Os beneficiários dos incisos II e III, do artigo 1º apresentarão a documentação que trata o caput deste artigo diretamente ao Poder Público Municipal em conjunto com laudo de avaliação médica especializado.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2º Para a expedição da primeira via do cartão, os mesmos documentos estabelecidos neste artigo deverão ser apresentados para a concessão do benefício.</w:t>
      </w:r>
    </w:p>
    <w:p w:rsidR="00872923" w:rsidRPr="00C81EFE" w:rsidRDefault="00872923" w:rsidP="00C81EFE">
      <w:pPr>
        <w:spacing w:line="276" w:lineRule="auto"/>
        <w:ind w:firstLine="1134"/>
        <w:jc w:val="both"/>
        <w:rPr>
          <w:rFonts w:asciiTheme="minorHAnsi" w:hAnsiTheme="minorHAnsi" w:cstheme="minorHAnsi"/>
          <w:b/>
          <w:bCs/>
          <w:sz w:val="22"/>
          <w:szCs w:val="22"/>
        </w:rPr>
      </w:pPr>
      <w:bookmarkStart w:id="4" w:name="artigo_7"/>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Art. 4º</w:t>
      </w:r>
      <w:bookmarkEnd w:id="4"/>
      <w:r w:rsidRPr="00C81EFE">
        <w:rPr>
          <w:rFonts w:asciiTheme="minorHAnsi" w:hAnsiTheme="minorHAnsi" w:cstheme="minorHAnsi"/>
          <w:sz w:val="22"/>
          <w:szCs w:val="22"/>
        </w:rPr>
        <w:t> A criação dos cartões que trata essa Lei e sua distribuição, no formato digital ou físico, ficará a cargo da concessionária de serviço público de transporte coletivo.</w:t>
      </w:r>
    </w:p>
    <w:p w:rsidR="00872923" w:rsidRPr="00C81EFE" w:rsidRDefault="00872923" w:rsidP="00C81EFE">
      <w:pPr>
        <w:spacing w:line="276" w:lineRule="auto"/>
        <w:ind w:firstLine="1134"/>
        <w:jc w:val="both"/>
        <w:rPr>
          <w:rFonts w:asciiTheme="minorHAnsi" w:hAnsiTheme="minorHAnsi" w:cstheme="minorHAnsi"/>
          <w:b/>
          <w:bCs/>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Art. 5º</w:t>
      </w:r>
      <w:r w:rsidRPr="00C81EFE">
        <w:rPr>
          <w:rFonts w:asciiTheme="minorHAnsi" w:hAnsiTheme="minorHAnsi" w:cstheme="minorHAnsi"/>
          <w:sz w:val="22"/>
          <w:szCs w:val="22"/>
        </w:rPr>
        <w:t> O Poder Público Municipal ficará responsável por receber, avaliar e deliberar sobre a condição do beneficiário desta lei, através de análise dos documentos de que trata esta lei e seu anexo, por meio de médico designado pela Secretaria Municipal de Saúde.</w:t>
      </w:r>
    </w:p>
    <w:p w:rsidR="00872923" w:rsidRPr="00C81EFE" w:rsidRDefault="00872923" w:rsidP="00C81EFE">
      <w:pPr>
        <w:spacing w:line="276" w:lineRule="auto"/>
        <w:ind w:firstLine="1134"/>
        <w:jc w:val="both"/>
        <w:rPr>
          <w:rFonts w:asciiTheme="minorHAnsi" w:hAnsiTheme="minorHAnsi" w:cstheme="minorHAnsi"/>
          <w:b/>
          <w:bCs/>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Art. 6º</w:t>
      </w:r>
      <w:r w:rsidRPr="00C81EFE">
        <w:rPr>
          <w:rFonts w:asciiTheme="minorHAnsi" w:hAnsiTheme="minorHAnsi" w:cstheme="minorHAnsi"/>
          <w:sz w:val="22"/>
          <w:szCs w:val="22"/>
        </w:rPr>
        <w:t> São responsabilidades do beneficiário com a gratuidade e seu acompanhante:</w:t>
      </w:r>
      <w:r w:rsidRPr="00C81EFE">
        <w:rPr>
          <w:rFonts w:asciiTheme="minorHAnsi" w:hAnsiTheme="minorHAnsi" w:cstheme="minorHAnsi"/>
          <w:sz w:val="22"/>
          <w:szCs w:val="22"/>
        </w:rPr>
        <w:br/>
      </w: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 - Zelar pelo cartão da gratuidade;</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 - Protocolar junto ao Poder público Municipal os documentos comprobatórios nos casos de perda, furto e uso indevido do cartão, a fim de proceder com o seu bloqueio;</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III - Realizar a renovação conforme disposto nesta Lei e seu anexo.</w:t>
      </w:r>
    </w:p>
    <w:p w:rsidR="00872923" w:rsidRPr="00C81EFE" w:rsidRDefault="00872923" w:rsidP="00C81EFE">
      <w:pPr>
        <w:spacing w:line="276" w:lineRule="auto"/>
        <w:ind w:firstLine="1134"/>
        <w:jc w:val="both"/>
        <w:rPr>
          <w:rFonts w:asciiTheme="minorHAnsi" w:hAnsiTheme="minorHAnsi" w:cstheme="minorHAnsi"/>
          <w:b/>
          <w:bCs/>
          <w:sz w:val="22"/>
          <w:szCs w:val="22"/>
        </w:rPr>
      </w:pPr>
      <w:bookmarkStart w:id="5" w:name="artigo_8"/>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lastRenderedPageBreak/>
        <w:t>Art. 7º</w:t>
      </w:r>
      <w:bookmarkEnd w:id="5"/>
      <w:r w:rsidRPr="00C81EFE">
        <w:rPr>
          <w:rFonts w:asciiTheme="minorHAnsi" w:hAnsiTheme="minorHAnsi" w:cstheme="minorHAnsi"/>
          <w:sz w:val="22"/>
          <w:szCs w:val="22"/>
        </w:rPr>
        <w:t> O cartão de identificação é de uso pessoal e intransferível e sua utilização por pessoas não autorizadas ou com o prazo de validade vencido acarretará no imediato bloqueio do benefício.</w:t>
      </w:r>
    </w:p>
    <w:p w:rsidR="00872923" w:rsidRPr="00C81EFE" w:rsidRDefault="00872923" w:rsidP="00C81EFE">
      <w:pPr>
        <w:spacing w:line="276" w:lineRule="auto"/>
        <w:ind w:firstLine="1134"/>
        <w:jc w:val="both"/>
        <w:rPr>
          <w:rFonts w:asciiTheme="minorHAnsi" w:hAnsiTheme="minorHAnsi" w:cstheme="minorHAnsi"/>
          <w:b/>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sz w:val="22"/>
          <w:szCs w:val="22"/>
        </w:rPr>
        <w:t>§ 1º</w:t>
      </w:r>
      <w:r w:rsidRPr="00C81EFE">
        <w:rPr>
          <w:rFonts w:asciiTheme="minorHAnsi" w:hAnsiTheme="minorHAnsi" w:cstheme="minorHAnsi"/>
          <w:sz w:val="22"/>
          <w:szCs w:val="22"/>
        </w:rPr>
        <w:t xml:space="preserve">. O bloqueio de que trata o </w:t>
      </w:r>
      <w:r w:rsidRPr="00C81EFE">
        <w:rPr>
          <w:rFonts w:asciiTheme="minorHAnsi" w:hAnsiTheme="minorHAnsi" w:cstheme="minorHAnsi"/>
          <w:i/>
          <w:sz w:val="22"/>
          <w:szCs w:val="22"/>
        </w:rPr>
        <w:t>caput</w:t>
      </w:r>
      <w:r w:rsidRPr="00C81EFE">
        <w:rPr>
          <w:rFonts w:asciiTheme="minorHAnsi" w:hAnsiTheme="minorHAnsi" w:cstheme="minorHAnsi"/>
          <w:sz w:val="22"/>
          <w:szCs w:val="22"/>
        </w:rPr>
        <w:t xml:space="preserve"> será realizado pela concessionária de serviço público de transporte, que deverá comunicar à </w:t>
      </w:r>
      <w:r w:rsidR="001307DC" w:rsidRPr="00C81EFE">
        <w:rPr>
          <w:rFonts w:asciiTheme="minorHAnsi" w:hAnsiTheme="minorHAnsi" w:cstheme="minorHAnsi"/>
          <w:sz w:val="22"/>
          <w:szCs w:val="22"/>
        </w:rPr>
        <w:t>Comissão Gestora de Gratuidade</w:t>
      </w:r>
      <w:r w:rsidRPr="00C81EFE">
        <w:rPr>
          <w:rFonts w:asciiTheme="minorHAnsi" w:hAnsiTheme="minorHAnsi" w:cstheme="minorHAnsi"/>
          <w:sz w:val="22"/>
          <w:szCs w:val="22"/>
        </w:rPr>
        <w:t xml:space="preserve"> de que trata o art. 9º para deliberar sobre a potencial aplicação das sanções de constantes no art. 8º.</w:t>
      </w:r>
    </w:p>
    <w:p w:rsidR="006322F4" w:rsidRPr="00C81EFE" w:rsidRDefault="006322F4"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xml:space="preserve"> </w:t>
      </w:r>
      <w:r w:rsidRPr="00C81EFE">
        <w:rPr>
          <w:rFonts w:asciiTheme="minorHAnsi" w:hAnsiTheme="minorHAnsi" w:cstheme="minorHAnsi"/>
          <w:b/>
          <w:sz w:val="22"/>
          <w:szCs w:val="22"/>
        </w:rPr>
        <w:t>§ 2º</w:t>
      </w:r>
      <w:r w:rsidRPr="00C81EFE">
        <w:rPr>
          <w:rFonts w:asciiTheme="minorHAnsi" w:hAnsiTheme="minorHAnsi" w:cstheme="minorHAnsi"/>
          <w:sz w:val="22"/>
          <w:szCs w:val="22"/>
        </w:rPr>
        <w:t xml:space="preserve">. Caberá recurso, pelo beneficiário, à </w:t>
      </w:r>
      <w:r w:rsidR="001307DC" w:rsidRPr="00C81EFE">
        <w:rPr>
          <w:rFonts w:asciiTheme="minorHAnsi" w:hAnsiTheme="minorHAnsi" w:cstheme="minorHAnsi"/>
          <w:sz w:val="22"/>
          <w:szCs w:val="22"/>
        </w:rPr>
        <w:t>Comissão Gestora de Gratuidade</w:t>
      </w:r>
      <w:r w:rsidRPr="00C81EFE">
        <w:rPr>
          <w:rFonts w:asciiTheme="minorHAnsi" w:hAnsiTheme="minorHAnsi" w:cstheme="minorHAnsi"/>
          <w:sz w:val="22"/>
          <w:szCs w:val="22"/>
        </w:rPr>
        <w:t xml:space="preserve"> de que tratar o art. 9º, no prazo de 15 (quinze) dias, contados a partir da ciência do beneficiário. </w:t>
      </w:r>
    </w:p>
    <w:p w:rsidR="00872923" w:rsidRPr="00C81EFE" w:rsidRDefault="00872923" w:rsidP="00C81EFE">
      <w:pPr>
        <w:spacing w:line="276" w:lineRule="auto"/>
        <w:ind w:firstLine="1134"/>
        <w:jc w:val="both"/>
        <w:rPr>
          <w:rFonts w:asciiTheme="minorHAnsi" w:hAnsiTheme="minorHAnsi" w:cstheme="minorHAnsi"/>
          <w:b/>
          <w:bCs/>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 xml:space="preserve">Art. 8º. </w:t>
      </w:r>
      <w:r w:rsidRPr="00C81EFE">
        <w:rPr>
          <w:rFonts w:asciiTheme="minorHAnsi" w:hAnsiTheme="minorHAnsi" w:cstheme="minorHAnsi"/>
          <w:sz w:val="22"/>
          <w:szCs w:val="22"/>
        </w:rPr>
        <w:t>O uso indevido do cartão, a obtenção do benefício por meios inidôneos, assim como todo e qualquer ato que vise frustrar os objetivos desta lei serão punidos, garantido o contraditório e a ampla defesa, bem como a gravidade da conduta, com as seguintes penalidades: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 - Suspensão temporária do benefício de 30 (trinta) a 180 (cento e oitenta) dias;</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 Cassação do benefício;</w:t>
      </w:r>
    </w:p>
    <w:p w:rsidR="00872923" w:rsidRPr="00C81EFE" w:rsidRDefault="00872923" w:rsidP="00C81EFE">
      <w:pPr>
        <w:spacing w:line="276" w:lineRule="auto"/>
        <w:ind w:firstLine="1134"/>
        <w:jc w:val="both"/>
        <w:rPr>
          <w:rFonts w:asciiTheme="minorHAnsi" w:hAnsiTheme="minorHAnsi" w:cstheme="minorHAnsi"/>
          <w:b/>
          <w:bCs/>
          <w:sz w:val="22"/>
          <w:szCs w:val="22"/>
        </w:rPr>
      </w:pPr>
      <w:bookmarkStart w:id="6" w:name="artigo_11"/>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 xml:space="preserve">Art. </w:t>
      </w:r>
      <w:bookmarkEnd w:id="6"/>
      <w:r w:rsidRPr="00C81EFE">
        <w:rPr>
          <w:rFonts w:asciiTheme="minorHAnsi" w:hAnsiTheme="minorHAnsi" w:cstheme="minorHAnsi"/>
          <w:b/>
          <w:bCs/>
          <w:sz w:val="22"/>
          <w:szCs w:val="22"/>
        </w:rPr>
        <w:t xml:space="preserve">9º. </w:t>
      </w:r>
      <w:r w:rsidRPr="00C81EFE">
        <w:rPr>
          <w:rFonts w:asciiTheme="minorHAnsi" w:hAnsiTheme="minorHAnsi" w:cstheme="minorHAnsi"/>
          <w:sz w:val="22"/>
          <w:szCs w:val="22"/>
        </w:rPr>
        <w:t xml:space="preserve">Fica criada a </w:t>
      </w:r>
      <w:r w:rsidR="001307DC" w:rsidRPr="00C81EFE">
        <w:rPr>
          <w:rFonts w:asciiTheme="minorHAnsi" w:hAnsiTheme="minorHAnsi" w:cstheme="minorHAnsi"/>
          <w:sz w:val="22"/>
          <w:szCs w:val="22"/>
        </w:rPr>
        <w:t>Comissão Gestora de Gratuidade</w:t>
      </w:r>
      <w:r w:rsidRPr="00C81EFE">
        <w:rPr>
          <w:rFonts w:asciiTheme="minorHAnsi" w:hAnsiTheme="minorHAnsi" w:cstheme="minorHAnsi"/>
          <w:sz w:val="22"/>
          <w:szCs w:val="22"/>
        </w:rPr>
        <w:t>, que deverá ser composta por 03 (três membros, sendo dois indicados pelo Poder Público Municipal e um indicado pela concessionária de serviço público de transporte, ficando responsável por:</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 – Deliberar pela aplicação de sanção ao beneficiário, pela infração a qualquer das previsões contidas nesta lei, sobretudo a que consta do art. 8º;</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 - Analisar os recursos previstos no §2º, do artigo 7º e;</w:t>
      </w:r>
    </w:p>
    <w:p w:rsidR="00872923" w:rsidRPr="00C81EFE" w:rsidRDefault="00872923"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III - dirimir os demais casos omissos nesta Lei.</w:t>
      </w:r>
    </w:p>
    <w:p w:rsidR="006322F4" w:rsidRPr="00C81EFE" w:rsidRDefault="006322F4" w:rsidP="00C81EFE">
      <w:pPr>
        <w:spacing w:line="276" w:lineRule="auto"/>
        <w:ind w:firstLine="1134"/>
        <w:jc w:val="both"/>
        <w:rPr>
          <w:rFonts w:asciiTheme="minorHAnsi" w:hAnsiTheme="minorHAnsi" w:cstheme="minorHAnsi"/>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sz w:val="22"/>
          <w:szCs w:val="22"/>
        </w:rPr>
        <w:t xml:space="preserve">Parágrafo único. Os recursos e requerimentos remetidos à </w:t>
      </w:r>
      <w:r w:rsidR="001307DC" w:rsidRPr="00C81EFE">
        <w:rPr>
          <w:rFonts w:asciiTheme="minorHAnsi" w:hAnsiTheme="minorHAnsi" w:cstheme="minorHAnsi"/>
          <w:sz w:val="22"/>
          <w:szCs w:val="22"/>
        </w:rPr>
        <w:t>Comissão Gestora de Gratuidade</w:t>
      </w:r>
      <w:r w:rsidRPr="00C81EFE">
        <w:rPr>
          <w:rFonts w:asciiTheme="minorHAnsi" w:hAnsiTheme="minorHAnsi" w:cstheme="minorHAnsi"/>
          <w:sz w:val="22"/>
          <w:szCs w:val="22"/>
        </w:rPr>
        <w:t xml:space="preserve"> deverão ser analisados em até 30 (trinta) dias, prorrogáveis por igual período por critérios de instrução, oportunidade e conveniência, devidamente fundamentados.</w:t>
      </w:r>
    </w:p>
    <w:p w:rsidR="00872923" w:rsidRPr="00C81EFE" w:rsidRDefault="00872923" w:rsidP="00C81EFE">
      <w:pPr>
        <w:spacing w:line="276" w:lineRule="auto"/>
        <w:ind w:firstLine="1134"/>
        <w:jc w:val="both"/>
        <w:rPr>
          <w:rFonts w:asciiTheme="minorHAnsi" w:hAnsiTheme="minorHAnsi" w:cstheme="minorHAnsi"/>
          <w:b/>
          <w:bCs/>
          <w:sz w:val="22"/>
          <w:szCs w:val="22"/>
        </w:rPr>
      </w:pPr>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 xml:space="preserve">Art. 10. </w:t>
      </w:r>
      <w:r w:rsidRPr="00C81EFE">
        <w:rPr>
          <w:rFonts w:asciiTheme="minorHAnsi" w:hAnsiTheme="minorHAnsi" w:cstheme="minorHAnsi"/>
          <w:sz w:val="22"/>
          <w:szCs w:val="22"/>
        </w:rPr>
        <w:t>Aos idosos beneficiados pela gratuidade prevista no art. 1º da lei nº 1.505, de 18 de agosto de 1987, ora revogada, que na data de entrada em vigor desta Lei, tenham completado sessenta anos de idade, fica assegurado o direito da gratuidade da tarifa de transporte coletivo até que atinjam sessenta e cinco anos de idade, quando então deverá ser observado o disposto no art. 230, §2º, da Constituição Federal.</w:t>
      </w:r>
    </w:p>
    <w:p w:rsidR="00872923" w:rsidRPr="00C81EFE" w:rsidRDefault="00872923" w:rsidP="00C81EFE">
      <w:pPr>
        <w:spacing w:line="276" w:lineRule="auto"/>
        <w:ind w:firstLine="1134"/>
        <w:jc w:val="both"/>
        <w:rPr>
          <w:rFonts w:asciiTheme="minorHAnsi" w:hAnsiTheme="minorHAnsi" w:cstheme="minorHAnsi"/>
          <w:b/>
          <w:bCs/>
          <w:sz w:val="22"/>
          <w:szCs w:val="22"/>
        </w:rPr>
      </w:pPr>
      <w:bookmarkStart w:id="7" w:name="artigo_15"/>
    </w:p>
    <w:p w:rsidR="00872923" w:rsidRPr="00C81EFE" w:rsidRDefault="00872923"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t xml:space="preserve">Art. </w:t>
      </w:r>
      <w:bookmarkEnd w:id="7"/>
      <w:r w:rsidRPr="00C81EFE">
        <w:rPr>
          <w:rFonts w:asciiTheme="minorHAnsi" w:hAnsiTheme="minorHAnsi" w:cstheme="minorHAnsi"/>
          <w:b/>
          <w:bCs/>
          <w:sz w:val="22"/>
          <w:szCs w:val="22"/>
        </w:rPr>
        <w:t>11.</w:t>
      </w:r>
      <w:r w:rsidRPr="00C81EFE">
        <w:rPr>
          <w:rFonts w:asciiTheme="minorHAnsi" w:hAnsiTheme="minorHAnsi" w:cstheme="minorHAnsi"/>
          <w:sz w:val="22"/>
          <w:szCs w:val="22"/>
        </w:rPr>
        <w:t> As despesas decorrentes desta lei correrão à conta das dotações orçamentárias próprias.</w:t>
      </w:r>
    </w:p>
    <w:p w:rsidR="006B08F0" w:rsidRPr="00C81EFE" w:rsidRDefault="006B08F0" w:rsidP="00C81EFE">
      <w:pPr>
        <w:spacing w:line="276" w:lineRule="auto"/>
        <w:ind w:firstLine="1134"/>
        <w:jc w:val="both"/>
        <w:rPr>
          <w:rFonts w:asciiTheme="minorHAnsi" w:hAnsiTheme="minorHAnsi" w:cstheme="minorHAnsi"/>
          <w:b/>
          <w:bCs/>
          <w:sz w:val="22"/>
          <w:szCs w:val="22"/>
        </w:rPr>
      </w:pPr>
    </w:p>
    <w:p w:rsidR="006B08F0" w:rsidRPr="00C81EFE" w:rsidRDefault="006B08F0" w:rsidP="00C81EFE">
      <w:pPr>
        <w:spacing w:line="276" w:lineRule="auto"/>
        <w:ind w:firstLine="1134"/>
        <w:jc w:val="both"/>
        <w:rPr>
          <w:rFonts w:asciiTheme="minorHAnsi" w:hAnsiTheme="minorHAnsi" w:cstheme="minorHAnsi"/>
          <w:sz w:val="22"/>
          <w:szCs w:val="22"/>
        </w:rPr>
      </w:pPr>
      <w:r w:rsidRPr="00C81EFE">
        <w:rPr>
          <w:rFonts w:asciiTheme="minorHAnsi" w:hAnsiTheme="minorHAnsi" w:cstheme="minorHAnsi"/>
          <w:b/>
          <w:bCs/>
          <w:sz w:val="22"/>
          <w:szCs w:val="22"/>
        </w:rPr>
        <w:lastRenderedPageBreak/>
        <w:t>Art. 12.</w:t>
      </w:r>
      <w:r w:rsidRPr="00C81EFE">
        <w:rPr>
          <w:rFonts w:asciiTheme="minorHAnsi" w:hAnsiTheme="minorHAnsi" w:cstheme="minorHAnsi"/>
          <w:sz w:val="22"/>
          <w:szCs w:val="22"/>
        </w:rPr>
        <w:t> Um ano após a publicação desta lei, deverá ser analisado o seu impacto na composição da tarifa, para fins de eventual reequilíbrio econômico financeiro</w:t>
      </w:r>
      <w:r w:rsidR="006322F4" w:rsidRPr="00C81EFE">
        <w:rPr>
          <w:rFonts w:asciiTheme="minorHAnsi" w:hAnsiTheme="minorHAnsi" w:cstheme="minorHAnsi"/>
          <w:sz w:val="22"/>
          <w:szCs w:val="22"/>
        </w:rPr>
        <w:t>, nada obstando a apreciação anterior, observados os requisitos legais</w:t>
      </w:r>
      <w:r w:rsidRPr="00C81EFE">
        <w:rPr>
          <w:rFonts w:asciiTheme="minorHAnsi" w:hAnsiTheme="minorHAnsi" w:cstheme="minorHAnsi"/>
          <w:sz w:val="22"/>
          <w:szCs w:val="22"/>
        </w:rPr>
        <w:t>.</w:t>
      </w:r>
    </w:p>
    <w:p w:rsidR="006B08F0" w:rsidRPr="00C81EFE" w:rsidRDefault="006B08F0" w:rsidP="00C81EFE">
      <w:pPr>
        <w:spacing w:line="276" w:lineRule="auto"/>
        <w:ind w:firstLine="1134"/>
        <w:jc w:val="both"/>
        <w:rPr>
          <w:rFonts w:asciiTheme="minorHAnsi" w:hAnsiTheme="minorHAnsi" w:cstheme="minorHAnsi"/>
          <w:b/>
          <w:bCs/>
          <w:sz w:val="22"/>
          <w:szCs w:val="22"/>
        </w:rPr>
      </w:pPr>
      <w:bookmarkStart w:id="8" w:name="artigo_16"/>
    </w:p>
    <w:p w:rsidR="006B08F0" w:rsidRPr="00C81EFE" w:rsidRDefault="006B08F0" w:rsidP="00C81EFE">
      <w:pPr>
        <w:spacing w:line="276" w:lineRule="auto"/>
        <w:ind w:firstLine="1134"/>
        <w:jc w:val="both"/>
        <w:rPr>
          <w:rFonts w:asciiTheme="minorHAnsi" w:hAnsiTheme="minorHAnsi" w:cstheme="minorHAnsi"/>
          <w:bCs/>
          <w:sz w:val="22"/>
          <w:szCs w:val="22"/>
        </w:rPr>
      </w:pPr>
      <w:r w:rsidRPr="00C81EFE">
        <w:rPr>
          <w:rFonts w:asciiTheme="minorHAnsi" w:hAnsiTheme="minorHAnsi" w:cstheme="minorHAnsi"/>
          <w:b/>
          <w:bCs/>
          <w:sz w:val="22"/>
          <w:szCs w:val="22"/>
        </w:rPr>
        <w:t>Art. 13</w:t>
      </w:r>
      <w:r w:rsidRPr="00C81EFE">
        <w:rPr>
          <w:rFonts w:asciiTheme="minorHAnsi" w:hAnsiTheme="minorHAnsi" w:cstheme="minorHAnsi"/>
          <w:bCs/>
          <w:sz w:val="22"/>
          <w:szCs w:val="22"/>
        </w:rPr>
        <w:t>. O</w:t>
      </w:r>
      <w:r w:rsidR="00470CFA" w:rsidRPr="00C81EFE">
        <w:rPr>
          <w:rFonts w:asciiTheme="minorHAnsi" w:hAnsiTheme="minorHAnsi" w:cstheme="minorHAnsi"/>
          <w:bCs/>
          <w:sz w:val="22"/>
          <w:szCs w:val="22"/>
        </w:rPr>
        <w:t>s</w:t>
      </w:r>
      <w:r w:rsidRPr="00C81EFE">
        <w:rPr>
          <w:rFonts w:asciiTheme="minorHAnsi" w:hAnsiTheme="minorHAnsi" w:cstheme="minorHAnsi"/>
          <w:bCs/>
          <w:sz w:val="22"/>
          <w:szCs w:val="22"/>
        </w:rPr>
        <w:t xml:space="preserve"> beneficiários de que trata os incisos I e II </w:t>
      </w:r>
      <w:r w:rsidR="00470CFA" w:rsidRPr="00C81EFE">
        <w:rPr>
          <w:rFonts w:asciiTheme="minorHAnsi" w:hAnsiTheme="minorHAnsi" w:cstheme="minorHAnsi"/>
          <w:bCs/>
          <w:sz w:val="22"/>
          <w:szCs w:val="22"/>
        </w:rPr>
        <w:t>do art. 1º deverão realizar novo cadastramento, nos termos desta lei, no prazo de até 6 (seis) meses, a contar da data da publicação, sob pena de suspensão da gratuidade.</w:t>
      </w:r>
    </w:p>
    <w:p w:rsidR="006B08F0" w:rsidRPr="00C81EFE" w:rsidRDefault="006B08F0" w:rsidP="00C81EFE">
      <w:pPr>
        <w:spacing w:line="276" w:lineRule="auto"/>
        <w:ind w:firstLine="1134"/>
        <w:jc w:val="both"/>
        <w:rPr>
          <w:rFonts w:asciiTheme="minorHAnsi" w:hAnsiTheme="minorHAnsi" w:cstheme="minorHAnsi"/>
          <w:b/>
          <w:bCs/>
          <w:sz w:val="22"/>
          <w:szCs w:val="22"/>
        </w:rPr>
      </w:pPr>
    </w:p>
    <w:p w:rsidR="00872923" w:rsidRPr="00C81EFE" w:rsidRDefault="00872923" w:rsidP="00C81EFE">
      <w:pPr>
        <w:spacing w:line="276" w:lineRule="auto"/>
        <w:ind w:firstLine="1134"/>
        <w:jc w:val="both"/>
        <w:rPr>
          <w:rFonts w:asciiTheme="minorHAnsi" w:hAnsiTheme="minorHAnsi" w:cstheme="minorHAnsi"/>
          <w:b/>
          <w:bCs/>
          <w:sz w:val="22"/>
          <w:szCs w:val="22"/>
        </w:rPr>
      </w:pPr>
      <w:r w:rsidRPr="00C81EFE">
        <w:rPr>
          <w:rFonts w:asciiTheme="minorHAnsi" w:hAnsiTheme="minorHAnsi" w:cstheme="minorHAnsi"/>
          <w:b/>
          <w:bCs/>
          <w:sz w:val="22"/>
          <w:szCs w:val="22"/>
        </w:rPr>
        <w:t xml:space="preserve">Art. </w:t>
      </w:r>
      <w:bookmarkEnd w:id="8"/>
      <w:r w:rsidRPr="00C81EFE">
        <w:rPr>
          <w:rFonts w:asciiTheme="minorHAnsi" w:hAnsiTheme="minorHAnsi" w:cstheme="minorHAnsi"/>
          <w:b/>
          <w:bCs/>
          <w:sz w:val="22"/>
          <w:szCs w:val="22"/>
        </w:rPr>
        <w:t>1</w:t>
      </w:r>
      <w:r w:rsidR="00470CFA" w:rsidRPr="00C81EFE">
        <w:rPr>
          <w:rFonts w:asciiTheme="minorHAnsi" w:hAnsiTheme="minorHAnsi" w:cstheme="minorHAnsi"/>
          <w:b/>
          <w:bCs/>
          <w:sz w:val="22"/>
          <w:szCs w:val="22"/>
        </w:rPr>
        <w:t>4</w:t>
      </w:r>
      <w:r w:rsidRPr="00C81EFE">
        <w:rPr>
          <w:rFonts w:asciiTheme="minorHAnsi" w:hAnsiTheme="minorHAnsi" w:cstheme="minorHAnsi"/>
          <w:b/>
          <w:bCs/>
          <w:sz w:val="22"/>
          <w:szCs w:val="22"/>
        </w:rPr>
        <w:t xml:space="preserve">. </w:t>
      </w:r>
      <w:r w:rsidR="006B08F0" w:rsidRPr="00C81EFE">
        <w:rPr>
          <w:rFonts w:asciiTheme="minorHAnsi" w:hAnsiTheme="minorHAnsi" w:cstheme="minorHAnsi"/>
          <w:bCs/>
          <w:sz w:val="22"/>
          <w:szCs w:val="22"/>
        </w:rPr>
        <w:t>Esta lei entra em vigor na data de sua publicação, r</w:t>
      </w:r>
      <w:r w:rsidRPr="00C81EFE">
        <w:rPr>
          <w:rFonts w:asciiTheme="minorHAnsi" w:hAnsiTheme="minorHAnsi" w:cstheme="minorHAnsi"/>
          <w:sz w:val="22"/>
          <w:szCs w:val="22"/>
        </w:rPr>
        <w:t>evogam-se as disposições em contrário.</w:t>
      </w:r>
      <w:bookmarkStart w:id="9" w:name="artigo_17"/>
    </w:p>
    <w:bookmarkEnd w:id="9"/>
    <w:p w:rsidR="00872923" w:rsidRPr="00C81EFE" w:rsidRDefault="00872923" w:rsidP="00C81EFE">
      <w:pPr>
        <w:spacing w:line="276" w:lineRule="auto"/>
        <w:ind w:firstLine="1134"/>
        <w:jc w:val="right"/>
        <w:rPr>
          <w:rFonts w:asciiTheme="minorHAnsi" w:hAnsiTheme="minorHAnsi" w:cstheme="minorHAnsi"/>
          <w:sz w:val="22"/>
          <w:szCs w:val="22"/>
        </w:rPr>
      </w:pPr>
    </w:p>
    <w:p w:rsidR="00127A41" w:rsidRPr="00C81EFE" w:rsidRDefault="00127A41" w:rsidP="00C81EFE">
      <w:pPr>
        <w:spacing w:line="276" w:lineRule="auto"/>
        <w:ind w:firstLine="1134"/>
        <w:jc w:val="right"/>
        <w:rPr>
          <w:rFonts w:asciiTheme="minorHAnsi" w:hAnsiTheme="minorHAnsi" w:cstheme="minorHAnsi"/>
          <w:sz w:val="22"/>
          <w:szCs w:val="22"/>
        </w:rPr>
      </w:pPr>
      <w:r w:rsidRPr="00C81EFE">
        <w:rPr>
          <w:rFonts w:asciiTheme="minorHAnsi" w:hAnsiTheme="minorHAnsi" w:cstheme="minorHAnsi"/>
          <w:sz w:val="22"/>
          <w:szCs w:val="22"/>
        </w:rPr>
        <w:t>Arapongas,</w:t>
      </w:r>
      <w:r w:rsidR="001B50E6" w:rsidRPr="00C81EFE">
        <w:rPr>
          <w:rFonts w:asciiTheme="minorHAnsi" w:hAnsiTheme="minorHAnsi" w:cstheme="minorHAnsi"/>
          <w:sz w:val="22"/>
          <w:szCs w:val="22"/>
        </w:rPr>
        <w:t xml:space="preserve"> </w:t>
      </w:r>
      <w:r w:rsidR="00325188" w:rsidRPr="00C81EFE">
        <w:rPr>
          <w:rFonts w:asciiTheme="minorHAnsi" w:hAnsiTheme="minorHAnsi" w:cstheme="minorHAnsi"/>
          <w:sz w:val="22"/>
          <w:szCs w:val="22"/>
        </w:rPr>
        <w:t>2</w:t>
      </w:r>
      <w:r w:rsidR="00C81EFE">
        <w:rPr>
          <w:rFonts w:asciiTheme="minorHAnsi" w:hAnsiTheme="minorHAnsi" w:cstheme="minorHAnsi"/>
          <w:sz w:val="22"/>
          <w:szCs w:val="22"/>
        </w:rPr>
        <w:t>1</w:t>
      </w:r>
      <w:r w:rsidR="00325188" w:rsidRPr="00C81EFE">
        <w:rPr>
          <w:rFonts w:asciiTheme="minorHAnsi" w:hAnsiTheme="minorHAnsi" w:cstheme="minorHAnsi"/>
          <w:sz w:val="22"/>
          <w:szCs w:val="22"/>
        </w:rPr>
        <w:t xml:space="preserve"> </w:t>
      </w:r>
      <w:r w:rsidR="00603521" w:rsidRPr="00C81EFE">
        <w:rPr>
          <w:rFonts w:asciiTheme="minorHAnsi" w:hAnsiTheme="minorHAnsi" w:cstheme="minorHAnsi"/>
          <w:sz w:val="22"/>
          <w:szCs w:val="22"/>
        </w:rPr>
        <w:t>de ju</w:t>
      </w:r>
      <w:r w:rsidR="00C81EFE">
        <w:rPr>
          <w:rFonts w:asciiTheme="minorHAnsi" w:hAnsiTheme="minorHAnsi" w:cstheme="minorHAnsi"/>
          <w:sz w:val="22"/>
          <w:szCs w:val="22"/>
        </w:rPr>
        <w:t>l</w:t>
      </w:r>
      <w:r w:rsidR="00603521" w:rsidRPr="00C81EFE">
        <w:rPr>
          <w:rFonts w:asciiTheme="minorHAnsi" w:hAnsiTheme="minorHAnsi" w:cstheme="minorHAnsi"/>
          <w:sz w:val="22"/>
          <w:szCs w:val="22"/>
        </w:rPr>
        <w:t xml:space="preserve">ho de </w:t>
      </w:r>
      <w:r w:rsidR="00D40A16" w:rsidRPr="00C81EFE">
        <w:rPr>
          <w:rFonts w:asciiTheme="minorHAnsi" w:hAnsiTheme="minorHAnsi" w:cstheme="minorHAnsi"/>
          <w:sz w:val="22"/>
          <w:szCs w:val="22"/>
        </w:rPr>
        <w:t>2022</w:t>
      </w:r>
      <w:r w:rsidRPr="00C81EFE">
        <w:rPr>
          <w:rFonts w:asciiTheme="minorHAnsi" w:hAnsiTheme="minorHAnsi" w:cstheme="minorHAnsi"/>
          <w:sz w:val="22"/>
          <w:szCs w:val="22"/>
        </w:rPr>
        <w:t>.</w:t>
      </w:r>
    </w:p>
    <w:p w:rsidR="004C28BF" w:rsidRPr="00C81EFE" w:rsidRDefault="004C28BF" w:rsidP="00C81EFE">
      <w:pPr>
        <w:spacing w:line="276" w:lineRule="auto"/>
        <w:ind w:firstLine="3240"/>
        <w:jc w:val="center"/>
        <w:rPr>
          <w:rFonts w:asciiTheme="minorHAnsi" w:hAnsiTheme="minorHAnsi" w:cstheme="minorHAnsi"/>
          <w:sz w:val="22"/>
          <w:szCs w:val="22"/>
        </w:rPr>
      </w:pPr>
    </w:p>
    <w:p w:rsidR="00A30011" w:rsidRDefault="00A30011" w:rsidP="00C81EFE">
      <w:pPr>
        <w:spacing w:line="276" w:lineRule="auto"/>
        <w:ind w:firstLine="3240"/>
        <w:jc w:val="center"/>
        <w:rPr>
          <w:rFonts w:asciiTheme="minorHAnsi" w:hAnsiTheme="minorHAnsi" w:cstheme="minorHAnsi"/>
          <w:sz w:val="22"/>
          <w:szCs w:val="22"/>
        </w:rPr>
      </w:pPr>
    </w:p>
    <w:p w:rsidR="00C81EFE" w:rsidRDefault="00C81EFE" w:rsidP="00C81EFE">
      <w:pPr>
        <w:spacing w:line="276" w:lineRule="auto"/>
        <w:ind w:firstLine="3240"/>
        <w:jc w:val="center"/>
        <w:rPr>
          <w:rFonts w:asciiTheme="minorHAnsi" w:hAnsiTheme="minorHAnsi" w:cstheme="minorHAnsi"/>
          <w:sz w:val="22"/>
          <w:szCs w:val="22"/>
        </w:rPr>
      </w:pPr>
    </w:p>
    <w:p w:rsidR="00C81EFE" w:rsidRDefault="00C81EFE" w:rsidP="00C81EFE">
      <w:pPr>
        <w:spacing w:line="276" w:lineRule="auto"/>
        <w:ind w:firstLine="3240"/>
        <w:jc w:val="center"/>
        <w:rPr>
          <w:rFonts w:asciiTheme="minorHAnsi" w:hAnsiTheme="minorHAnsi" w:cstheme="minorHAnsi"/>
          <w:sz w:val="22"/>
          <w:szCs w:val="22"/>
        </w:rPr>
      </w:pPr>
    </w:p>
    <w:p w:rsidR="00C81EFE" w:rsidRPr="00C81EFE" w:rsidRDefault="00C81EFE" w:rsidP="00C81EFE">
      <w:pPr>
        <w:spacing w:line="276" w:lineRule="auto"/>
        <w:ind w:firstLine="3240"/>
        <w:jc w:val="center"/>
        <w:rPr>
          <w:rFonts w:asciiTheme="minorHAnsi" w:hAnsiTheme="minorHAnsi" w:cstheme="minorHAnsi"/>
          <w:sz w:val="22"/>
          <w:szCs w:val="22"/>
        </w:rPr>
      </w:pPr>
    </w:p>
    <w:p w:rsidR="00325188" w:rsidRPr="00C81EFE" w:rsidRDefault="00325188" w:rsidP="00C81EFE">
      <w:pPr>
        <w:spacing w:line="276" w:lineRule="auto"/>
        <w:ind w:firstLine="3240"/>
        <w:jc w:val="center"/>
        <w:rPr>
          <w:rFonts w:asciiTheme="minorHAnsi" w:hAnsiTheme="minorHAnsi" w:cstheme="minorHAnsi"/>
          <w:sz w:val="22"/>
          <w:szCs w:val="22"/>
        </w:rPr>
      </w:pPr>
    </w:p>
    <w:p w:rsidR="00325188" w:rsidRPr="00C81EFE" w:rsidRDefault="00325188" w:rsidP="00C81EFE">
      <w:pPr>
        <w:spacing w:line="276" w:lineRule="auto"/>
        <w:ind w:firstLine="3240"/>
        <w:jc w:val="center"/>
        <w:rPr>
          <w:rFonts w:asciiTheme="minorHAnsi" w:hAnsiTheme="minorHAnsi" w:cstheme="minorHAnsi"/>
          <w:sz w:val="22"/>
          <w:szCs w:val="22"/>
        </w:rPr>
      </w:pPr>
    </w:p>
    <w:p w:rsidR="009427B5" w:rsidRPr="00C81EFE" w:rsidRDefault="009427B5" w:rsidP="00C81EFE">
      <w:pPr>
        <w:pStyle w:val="Recuodecorpodetexto"/>
        <w:spacing w:after="0" w:line="276" w:lineRule="auto"/>
        <w:ind w:firstLine="0"/>
        <w:jc w:val="center"/>
        <w:rPr>
          <w:rFonts w:asciiTheme="minorHAnsi" w:hAnsiTheme="minorHAnsi" w:cstheme="minorHAnsi"/>
          <w:b/>
          <w:bCs/>
          <w:color w:val="auto"/>
          <w:sz w:val="22"/>
          <w:szCs w:val="22"/>
        </w:rPr>
      </w:pPr>
      <w:r w:rsidRPr="00C81EFE">
        <w:rPr>
          <w:rFonts w:asciiTheme="minorHAnsi" w:hAnsiTheme="minorHAnsi" w:cstheme="minorHAnsi"/>
          <w:b/>
          <w:bCs/>
          <w:color w:val="auto"/>
          <w:sz w:val="22"/>
          <w:szCs w:val="22"/>
        </w:rPr>
        <w:t>SÉRGIO ONOFRE DA SILVA</w:t>
      </w:r>
    </w:p>
    <w:p w:rsidR="009427B5" w:rsidRPr="00C81EFE" w:rsidRDefault="009427B5" w:rsidP="00C81EFE">
      <w:pPr>
        <w:pStyle w:val="Recuodecorpodetexto"/>
        <w:spacing w:after="0" w:line="276" w:lineRule="auto"/>
        <w:ind w:firstLine="0"/>
        <w:jc w:val="center"/>
        <w:rPr>
          <w:rFonts w:asciiTheme="minorHAnsi" w:hAnsiTheme="minorHAnsi" w:cstheme="minorHAnsi"/>
          <w:color w:val="auto"/>
          <w:sz w:val="22"/>
          <w:szCs w:val="22"/>
        </w:rPr>
      </w:pPr>
      <w:r w:rsidRPr="00C81EFE">
        <w:rPr>
          <w:rFonts w:asciiTheme="minorHAnsi" w:hAnsiTheme="minorHAnsi" w:cstheme="minorHAnsi"/>
          <w:color w:val="auto"/>
          <w:sz w:val="22"/>
          <w:szCs w:val="22"/>
        </w:rPr>
        <w:t>Prefeito</w:t>
      </w:r>
    </w:p>
    <w:sectPr w:rsidR="009427B5" w:rsidRPr="00C81EFE" w:rsidSect="00510723">
      <w:headerReference w:type="default" r:id="rId8"/>
      <w:footerReference w:type="even" r:id="rId9"/>
      <w:footerReference w:type="default" r:id="rId10"/>
      <w:pgSz w:w="11907" w:h="16840" w:code="9"/>
      <w:pgMar w:top="1134" w:right="1134" w:bottom="680"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EB" w:rsidRDefault="008233EB">
      <w:r>
        <w:separator/>
      </w:r>
    </w:p>
  </w:endnote>
  <w:endnote w:type="continuationSeparator" w:id="0">
    <w:p w:rsidR="008233EB" w:rsidRDefault="0082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separate"/>
    </w:r>
    <w:r w:rsidR="00C81EFE">
      <w:rPr>
        <w:rStyle w:val="Nmerodepgina"/>
        <w:noProof/>
      </w:rPr>
      <w:t>1</w: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EB" w:rsidRDefault="008233EB">
      <w:r>
        <w:separator/>
      </w:r>
    </w:p>
  </w:footnote>
  <w:footnote w:type="continuationSeparator" w:id="0">
    <w:p w:rsidR="008233EB" w:rsidRDefault="0082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42"/>
    </w:tblGrid>
    <w:tr w:rsidR="00D44152" w:rsidTr="00510723">
      <w:trPr>
        <w:trHeight w:val="858"/>
        <w:jc w:val="center"/>
      </w:trPr>
      <w:tc>
        <w:tcPr>
          <w:tcW w:w="8842"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510723"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510723">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510723"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510723">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04"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5.2pt">
                <v:imagedata r:id="rId1" o:title=""/>
              </v:shape>
              <o:OLEObject Type="Embed" ProgID="CorelDRAW.Graphic.13" ShapeID="_x0000_i1025" DrawAspect="Content" ObjectID="_1719991257"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09E1"/>
    <w:rsid w:val="000B39DA"/>
    <w:rsid w:val="000C7759"/>
    <w:rsid w:val="000E4CF2"/>
    <w:rsid w:val="000E4ED1"/>
    <w:rsid w:val="001022D5"/>
    <w:rsid w:val="001023BC"/>
    <w:rsid w:val="00110258"/>
    <w:rsid w:val="00117A87"/>
    <w:rsid w:val="00120639"/>
    <w:rsid w:val="00120C49"/>
    <w:rsid w:val="00124E98"/>
    <w:rsid w:val="00127A41"/>
    <w:rsid w:val="001307DC"/>
    <w:rsid w:val="00134892"/>
    <w:rsid w:val="001368EF"/>
    <w:rsid w:val="00143B5A"/>
    <w:rsid w:val="00145AE8"/>
    <w:rsid w:val="00146C6B"/>
    <w:rsid w:val="00164FF8"/>
    <w:rsid w:val="001651F0"/>
    <w:rsid w:val="001652B4"/>
    <w:rsid w:val="001709F6"/>
    <w:rsid w:val="0017131B"/>
    <w:rsid w:val="00172A4C"/>
    <w:rsid w:val="00173B98"/>
    <w:rsid w:val="0017529B"/>
    <w:rsid w:val="00183EF2"/>
    <w:rsid w:val="00190CEE"/>
    <w:rsid w:val="00191AE5"/>
    <w:rsid w:val="00197125"/>
    <w:rsid w:val="001A3DD5"/>
    <w:rsid w:val="001A7515"/>
    <w:rsid w:val="001B50E6"/>
    <w:rsid w:val="001C2EF6"/>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A32EE"/>
    <w:rsid w:val="002B0E13"/>
    <w:rsid w:val="002B1A5B"/>
    <w:rsid w:val="002B394B"/>
    <w:rsid w:val="002B529F"/>
    <w:rsid w:val="002D2B28"/>
    <w:rsid w:val="002D3B2F"/>
    <w:rsid w:val="002D6105"/>
    <w:rsid w:val="002E12EB"/>
    <w:rsid w:val="002E14E5"/>
    <w:rsid w:val="002E1DFD"/>
    <w:rsid w:val="002E3004"/>
    <w:rsid w:val="002E4703"/>
    <w:rsid w:val="002E5C38"/>
    <w:rsid w:val="002F65B2"/>
    <w:rsid w:val="00302B44"/>
    <w:rsid w:val="00305621"/>
    <w:rsid w:val="00305FE9"/>
    <w:rsid w:val="003216E5"/>
    <w:rsid w:val="00323389"/>
    <w:rsid w:val="00325188"/>
    <w:rsid w:val="0032580A"/>
    <w:rsid w:val="0033410E"/>
    <w:rsid w:val="00351119"/>
    <w:rsid w:val="00351900"/>
    <w:rsid w:val="00353A57"/>
    <w:rsid w:val="00354CB0"/>
    <w:rsid w:val="00362508"/>
    <w:rsid w:val="00364035"/>
    <w:rsid w:val="0036461B"/>
    <w:rsid w:val="00385AD5"/>
    <w:rsid w:val="003902C7"/>
    <w:rsid w:val="003B6719"/>
    <w:rsid w:val="003B720B"/>
    <w:rsid w:val="003C52C0"/>
    <w:rsid w:val="003C6819"/>
    <w:rsid w:val="003C6F53"/>
    <w:rsid w:val="003D247F"/>
    <w:rsid w:val="003D2BA6"/>
    <w:rsid w:val="003D3217"/>
    <w:rsid w:val="003E0740"/>
    <w:rsid w:val="003E6770"/>
    <w:rsid w:val="003F30DD"/>
    <w:rsid w:val="003F4B60"/>
    <w:rsid w:val="004057E4"/>
    <w:rsid w:val="004062FD"/>
    <w:rsid w:val="00424DF0"/>
    <w:rsid w:val="00437FBA"/>
    <w:rsid w:val="00440390"/>
    <w:rsid w:val="00444F14"/>
    <w:rsid w:val="0045496D"/>
    <w:rsid w:val="00470CFA"/>
    <w:rsid w:val="00492B73"/>
    <w:rsid w:val="00494A18"/>
    <w:rsid w:val="004A274A"/>
    <w:rsid w:val="004B3A76"/>
    <w:rsid w:val="004B3EC1"/>
    <w:rsid w:val="004B463A"/>
    <w:rsid w:val="004B7E94"/>
    <w:rsid w:val="004C28BF"/>
    <w:rsid w:val="004D2C89"/>
    <w:rsid w:val="004D744A"/>
    <w:rsid w:val="004E1DDB"/>
    <w:rsid w:val="004E32FF"/>
    <w:rsid w:val="004E4391"/>
    <w:rsid w:val="004F05CF"/>
    <w:rsid w:val="004F1F5A"/>
    <w:rsid w:val="004F2006"/>
    <w:rsid w:val="005012D5"/>
    <w:rsid w:val="005068C4"/>
    <w:rsid w:val="00510723"/>
    <w:rsid w:val="0051611E"/>
    <w:rsid w:val="00517A2A"/>
    <w:rsid w:val="005342FD"/>
    <w:rsid w:val="005449F6"/>
    <w:rsid w:val="00547332"/>
    <w:rsid w:val="00570CE7"/>
    <w:rsid w:val="0057493D"/>
    <w:rsid w:val="005779CE"/>
    <w:rsid w:val="00594716"/>
    <w:rsid w:val="005951DA"/>
    <w:rsid w:val="005A0CFB"/>
    <w:rsid w:val="005A49EB"/>
    <w:rsid w:val="005B0A7F"/>
    <w:rsid w:val="005B53EA"/>
    <w:rsid w:val="005B5879"/>
    <w:rsid w:val="005C0F14"/>
    <w:rsid w:val="005C5B9F"/>
    <w:rsid w:val="005C7B8E"/>
    <w:rsid w:val="005D0964"/>
    <w:rsid w:val="005D30F4"/>
    <w:rsid w:val="005E1596"/>
    <w:rsid w:val="005E2814"/>
    <w:rsid w:val="005F4FD1"/>
    <w:rsid w:val="00603521"/>
    <w:rsid w:val="006035E3"/>
    <w:rsid w:val="006072B9"/>
    <w:rsid w:val="00607D59"/>
    <w:rsid w:val="00610D14"/>
    <w:rsid w:val="006149AF"/>
    <w:rsid w:val="00622077"/>
    <w:rsid w:val="0063103B"/>
    <w:rsid w:val="006322F4"/>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96E0E"/>
    <w:rsid w:val="006A1AB4"/>
    <w:rsid w:val="006B08F0"/>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6245"/>
    <w:rsid w:val="00797072"/>
    <w:rsid w:val="007A02CC"/>
    <w:rsid w:val="007A2566"/>
    <w:rsid w:val="007A5866"/>
    <w:rsid w:val="007B7AB8"/>
    <w:rsid w:val="007C71A5"/>
    <w:rsid w:val="007D2B7E"/>
    <w:rsid w:val="007D7334"/>
    <w:rsid w:val="007E1D22"/>
    <w:rsid w:val="007E2FA3"/>
    <w:rsid w:val="007F02F1"/>
    <w:rsid w:val="007F3D41"/>
    <w:rsid w:val="008140F9"/>
    <w:rsid w:val="00815EC4"/>
    <w:rsid w:val="008225B6"/>
    <w:rsid w:val="008233EB"/>
    <w:rsid w:val="00823DD0"/>
    <w:rsid w:val="00836E6B"/>
    <w:rsid w:val="008424C7"/>
    <w:rsid w:val="0084667B"/>
    <w:rsid w:val="00854502"/>
    <w:rsid w:val="00862F35"/>
    <w:rsid w:val="0086406F"/>
    <w:rsid w:val="008640E3"/>
    <w:rsid w:val="0086539D"/>
    <w:rsid w:val="00872923"/>
    <w:rsid w:val="00875281"/>
    <w:rsid w:val="008769CE"/>
    <w:rsid w:val="00881B66"/>
    <w:rsid w:val="0088540B"/>
    <w:rsid w:val="008863BF"/>
    <w:rsid w:val="00896C2D"/>
    <w:rsid w:val="008A03D2"/>
    <w:rsid w:val="008A461B"/>
    <w:rsid w:val="008A6499"/>
    <w:rsid w:val="008A6DCC"/>
    <w:rsid w:val="008B3C58"/>
    <w:rsid w:val="008D09E6"/>
    <w:rsid w:val="008D1DDB"/>
    <w:rsid w:val="008D4237"/>
    <w:rsid w:val="008D7A8D"/>
    <w:rsid w:val="008F01E2"/>
    <w:rsid w:val="008F6710"/>
    <w:rsid w:val="00902323"/>
    <w:rsid w:val="00906AA4"/>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0F59"/>
    <w:rsid w:val="009C3B2A"/>
    <w:rsid w:val="009C68AE"/>
    <w:rsid w:val="009D0E8B"/>
    <w:rsid w:val="009D2023"/>
    <w:rsid w:val="009D4D25"/>
    <w:rsid w:val="009D720F"/>
    <w:rsid w:val="00A01B00"/>
    <w:rsid w:val="00A07C4D"/>
    <w:rsid w:val="00A21FD3"/>
    <w:rsid w:val="00A230F1"/>
    <w:rsid w:val="00A30011"/>
    <w:rsid w:val="00A331AE"/>
    <w:rsid w:val="00A35103"/>
    <w:rsid w:val="00A3566D"/>
    <w:rsid w:val="00A356C3"/>
    <w:rsid w:val="00A37CF5"/>
    <w:rsid w:val="00A41116"/>
    <w:rsid w:val="00A6026F"/>
    <w:rsid w:val="00A61A9F"/>
    <w:rsid w:val="00A61CF5"/>
    <w:rsid w:val="00A76A1D"/>
    <w:rsid w:val="00A83E14"/>
    <w:rsid w:val="00A871CB"/>
    <w:rsid w:val="00A8723D"/>
    <w:rsid w:val="00AA022D"/>
    <w:rsid w:val="00AA2288"/>
    <w:rsid w:val="00AB4BBE"/>
    <w:rsid w:val="00AB7643"/>
    <w:rsid w:val="00AB7737"/>
    <w:rsid w:val="00AC0E71"/>
    <w:rsid w:val="00AC2B23"/>
    <w:rsid w:val="00AC6662"/>
    <w:rsid w:val="00AE1B56"/>
    <w:rsid w:val="00AE3F27"/>
    <w:rsid w:val="00B017B3"/>
    <w:rsid w:val="00B05436"/>
    <w:rsid w:val="00B058EB"/>
    <w:rsid w:val="00B152FD"/>
    <w:rsid w:val="00B20D24"/>
    <w:rsid w:val="00B2602E"/>
    <w:rsid w:val="00B2644B"/>
    <w:rsid w:val="00B34A21"/>
    <w:rsid w:val="00B36B0B"/>
    <w:rsid w:val="00B522CF"/>
    <w:rsid w:val="00B56134"/>
    <w:rsid w:val="00B64CF8"/>
    <w:rsid w:val="00B64D36"/>
    <w:rsid w:val="00B7247C"/>
    <w:rsid w:val="00B91DEB"/>
    <w:rsid w:val="00B95EBD"/>
    <w:rsid w:val="00B96639"/>
    <w:rsid w:val="00BA0A6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1EFE"/>
    <w:rsid w:val="00C83115"/>
    <w:rsid w:val="00C8333A"/>
    <w:rsid w:val="00C930B1"/>
    <w:rsid w:val="00C95ECF"/>
    <w:rsid w:val="00CA18D5"/>
    <w:rsid w:val="00CA631A"/>
    <w:rsid w:val="00CB428B"/>
    <w:rsid w:val="00CC661B"/>
    <w:rsid w:val="00CD0F8D"/>
    <w:rsid w:val="00CD15D2"/>
    <w:rsid w:val="00CD5D7F"/>
    <w:rsid w:val="00CD69D8"/>
    <w:rsid w:val="00CE541B"/>
    <w:rsid w:val="00CF10D0"/>
    <w:rsid w:val="00CF2A22"/>
    <w:rsid w:val="00D12A3A"/>
    <w:rsid w:val="00D17062"/>
    <w:rsid w:val="00D207E1"/>
    <w:rsid w:val="00D22B10"/>
    <w:rsid w:val="00D25D1C"/>
    <w:rsid w:val="00D30CB2"/>
    <w:rsid w:val="00D40A16"/>
    <w:rsid w:val="00D428F2"/>
    <w:rsid w:val="00D44152"/>
    <w:rsid w:val="00D44838"/>
    <w:rsid w:val="00D60BB2"/>
    <w:rsid w:val="00D62697"/>
    <w:rsid w:val="00D653E2"/>
    <w:rsid w:val="00D71BB9"/>
    <w:rsid w:val="00D7405D"/>
    <w:rsid w:val="00D757EC"/>
    <w:rsid w:val="00D779E8"/>
    <w:rsid w:val="00D82371"/>
    <w:rsid w:val="00D83898"/>
    <w:rsid w:val="00D9103D"/>
    <w:rsid w:val="00D9414F"/>
    <w:rsid w:val="00DA0DE9"/>
    <w:rsid w:val="00DA3C7D"/>
    <w:rsid w:val="00DA74EB"/>
    <w:rsid w:val="00DB2811"/>
    <w:rsid w:val="00DB7941"/>
    <w:rsid w:val="00DC0952"/>
    <w:rsid w:val="00DD35A7"/>
    <w:rsid w:val="00DD3678"/>
    <w:rsid w:val="00DD5084"/>
    <w:rsid w:val="00DF1B36"/>
    <w:rsid w:val="00DF5FB4"/>
    <w:rsid w:val="00DF7E48"/>
    <w:rsid w:val="00E002F4"/>
    <w:rsid w:val="00E0768D"/>
    <w:rsid w:val="00E15433"/>
    <w:rsid w:val="00E16BC4"/>
    <w:rsid w:val="00E21F03"/>
    <w:rsid w:val="00E2488D"/>
    <w:rsid w:val="00E405DF"/>
    <w:rsid w:val="00E55B9E"/>
    <w:rsid w:val="00E64DB2"/>
    <w:rsid w:val="00E70B1E"/>
    <w:rsid w:val="00E713F4"/>
    <w:rsid w:val="00E72BDF"/>
    <w:rsid w:val="00E8582E"/>
    <w:rsid w:val="00E95F32"/>
    <w:rsid w:val="00EA1C91"/>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74BBC"/>
    <w:rsid w:val="00F834F9"/>
    <w:rsid w:val="00F87A04"/>
    <w:rsid w:val="00F91838"/>
    <w:rsid w:val="00F97F4F"/>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357D418"/>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3">
    <w:name w:val="heading 3"/>
    <w:basedOn w:val="Normal"/>
    <w:next w:val="Normal"/>
    <w:link w:val="Ttulo3Char"/>
    <w:semiHidden/>
    <w:unhideWhenUsed/>
    <w:qFormat/>
    <w:locked/>
    <w:rsid w:val="006322F4"/>
    <w:pPr>
      <w:keepNext/>
      <w:keepLines/>
      <w:suppressAutoHyphens/>
      <w:autoSpaceDE w:val="0"/>
      <w:spacing w:before="40"/>
      <w:outlineLvl w:val="2"/>
    </w:pPr>
    <w:rPr>
      <w:rFonts w:asciiTheme="majorHAnsi" w:eastAsiaTheme="majorEastAsia" w:hAnsiTheme="majorHAnsi" w:cstheme="majorBidi"/>
      <w:color w:val="243F60" w:themeColor="accent1" w:themeShade="7F"/>
      <w:lang w:eastAsia="ar-SA"/>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 w:type="character" w:customStyle="1" w:styleId="Ttulo3Char">
    <w:name w:val="Título 3 Char"/>
    <w:basedOn w:val="Fontepargpadro"/>
    <w:link w:val="Ttulo3"/>
    <w:semiHidden/>
    <w:rsid w:val="006322F4"/>
    <w:rPr>
      <w:rFonts w:asciiTheme="majorHAnsi" w:eastAsiaTheme="majorEastAsia" w:hAnsiTheme="majorHAnsi" w:cstheme="majorBidi"/>
      <w:color w:val="243F60" w:themeColor="accent1" w:themeShade="7F"/>
      <w:sz w:val="24"/>
      <w:szCs w:val="24"/>
      <w:lang w:eastAsia="ar-SA"/>
    </w:rPr>
  </w:style>
  <w:style w:type="character" w:customStyle="1" w:styleId="badge">
    <w:name w:val="badge"/>
    <w:basedOn w:val="Fontepargpadro"/>
    <w:rsid w:val="0063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54C8-DD73-4B05-8A24-4882653D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2022-07-08T18:34:00Z</cp:lastPrinted>
  <dcterms:created xsi:type="dcterms:W3CDTF">2022-07-21T19:21:00Z</dcterms:created>
  <dcterms:modified xsi:type="dcterms:W3CDTF">2022-07-22T13:35:00Z</dcterms:modified>
</cp:coreProperties>
</file>